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B226" w14:textId="6B00A54C" w:rsidR="00C34FDB" w:rsidRPr="00F31EB3" w:rsidRDefault="00AA7F03" w:rsidP="00627C9F">
      <w:pPr>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2"/>
          <w:szCs w:val="22"/>
        </w:rPr>
      </w:pPr>
      <w:r>
        <w:rPr>
          <w:noProof/>
        </w:rPr>
        <mc:AlternateContent>
          <mc:Choice Requires="wps">
            <w:drawing>
              <wp:anchor distT="0" distB="0" distL="114300" distR="114300" simplePos="0" relativeHeight="251654144" behindDoc="0" locked="0" layoutInCell="1" allowOverlap="1" wp14:anchorId="47A8D45D" wp14:editId="39E39610">
                <wp:simplePos x="0" y="0"/>
                <wp:positionH relativeFrom="column">
                  <wp:posOffset>-415925</wp:posOffset>
                </wp:positionH>
                <wp:positionV relativeFrom="paragraph">
                  <wp:posOffset>-356870</wp:posOffset>
                </wp:positionV>
                <wp:extent cx="1409700" cy="8977630"/>
                <wp:effectExtent l="3175" t="0" r="0" b="0"/>
                <wp:wrapNone/>
                <wp:docPr id="7274024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AFF6B"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" fillcolor="#67ae3c" stroked="f" strokeweight="2pt"/>
            </w:pict>
          </mc:Fallback>
        </mc:AlternateContent>
      </w:r>
      <w:r>
        <w:rPr>
          <w:noProof/>
        </w:rPr>
        <mc:AlternateContent>
          <mc:Choice Requires="wps">
            <w:drawing>
              <wp:anchor distT="0" distB="0" distL="114300" distR="114300" simplePos="0" relativeHeight="251658240" behindDoc="0" locked="0" layoutInCell="1" allowOverlap="1" wp14:anchorId="32E7D6B1" wp14:editId="68297EDE">
                <wp:simplePos x="0" y="0"/>
                <wp:positionH relativeFrom="column">
                  <wp:posOffset>1143000</wp:posOffset>
                </wp:positionH>
                <wp:positionV relativeFrom="paragraph">
                  <wp:posOffset>-371475</wp:posOffset>
                </wp:positionV>
                <wp:extent cx="4486275" cy="752475"/>
                <wp:effectExtent l="0" t="0" r="0" b="0"/>
                <wp:wrapNone/>
                <wp:docPr id="136575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A99E95" w14:textId="0840C27D" w:rsidR="00C34FDB" w:rsidRDefault="00AA7F03">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C52F877" wp14:editId="7E3D144D">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C34FD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7D6B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" filled="f" stroked="f" strokeweight=".5pt">
                <v:textbox>
                  <w:txbxContent>
                    <w:p w14:paraId="65A99E95" w14:textId="0840C27D" w:rsidR="00C34FDB" w:rsidRDefault="00AA7F03">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C52F877" wp14:editId="7E3D144D">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C34FDB">
                        <w:t xml:space="preserve">                        </w:t>
                      </w:r>
                    </w:p>
                  </w:txbxContent>
                </v:textbox>
              </v:shape>
            </w:pict>
          </mc:Fallback>
        </mc:AlternateContent>
      </w:r>
    </w:p>
    <w:p w14:paraId="703F5376"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cs="Cambria"/>
          <w:sz w:val="22"/>
          <w:szCs w:val="22"/>
        </w:rPr>
      </w:pPr>
    </w:p>
    <w:p w14:paraId="4871D937"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cs="Cambria"/>
          <w:sz w:val="22"/>
          <w:szCs w:val="22"/>
        </w:rPr>
      </w:pPr>
    </w:p>
    <w:p w14:paraId="52A6FCDA"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2"/>
          <w:szCs w:val="22"/>
        </w:rPr>
      </w:pPr>
    </w:p>
    <w:p w14:paraId="6B3F2A48"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2"/>
          <w:szCs w:val="22"/>
        </w:rPr>
      </w:pPr>
    </w:p>
    <w:p w14:paraId="71460C5B"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2"/>
          <w:szCs w:val="22"/>
        </w:rPr>
      </w:pPr>
    </w:p>
    <w:p w14:paraId="2754F72C" w14:textId="77777777" w:rsidR="00C34FDB" w:rsidRPr="00F31EB3" w:rsidRDefault="00C34FD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019B0D0F" w14:textId="77777777" w:rsidR="00C34FDB" w:rsidRPr="00F31EB3" w:rsidRDefault="00C34FD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3450A329" w14:textId="77777777" w:rsidR="00C34FDB" w:rsidRPr="00F31EB3" w:rsidRDefault="00C34FD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149023E8" w14:textId="77777777" w:rsidR="00C34FDB" w:rsidRPr="00F31EB3" w:rsidRDefault="00C34FD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78BE293F" w14:textId="77777777" w:rsidR="00C34FDB" w:rsidRPr="00F31EB3" w:rsidRDefault="00C34FDB"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324153A8"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0F331659"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35ECFE4B"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5FE4524B" w14:textId="619C289B" w:rsidR="00C34FDB" w:rsidRPr="00F31EB3" w:rsidRDefault="00AA7F0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14:anchorId="03241527" wp14:editId="1665FCB3">
                <wp:simplePos x="0" y="0"/>
                <wp:positionH relativeFrom="column">
                  <wp:posOffset>1209675</wp:posOffset>
                </wp:positionH>
                <wp:positionV relativeFrom="paragraph">
                  <wp:posOffset>79375</wp:posOffset>
                </wp:positionV>
                <wp:extent cx="4333875" cy="2350770"/>
                <wp:effectExtent l="0" t="635" r="0" b="1270"/>
                <wp:wrapNone/>
                <wp:docPr id="7688225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62B5C3" w14:textId="4E5A3382" w:rsidR="00C34FDB" w:rsidRPr="005B6B3A"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color w:val="0D0D0D"/>
                                <w:sz w:val="36"/>
                                <w:szCs w:val="36"/>
                              </w:rPr>
                            </w:pPr>
                            <w:r w:rsidRPr="005B6B3A">
                              <w:rPr>
                                <w:rFonts w:ascii="Cambria" w:hAnsi="Cambria" w:cs="Cambria"/>
                                <w:b/>
                                <w:bCs/>
                                <w:color w:val="0D0D0D"/>
                                <w:sz w:val="36"/>
                                <w:szCs w:val="36"/>
                              </w:rPr>
                              <w:t xml:space="preserve">REPORT No. </w:t>
                            </w:r>
                            <w:r w:rsidR="00FD4C2C">
                              <w:rPr>
                                <w:rFonts w:ascii="Cambria" w:hAnsi="Cambria" w:cs="Cambria"/>
                                <w:b/>
                                <w:bCs/>
                                <w:color w:val="0D0D0D"/>
                                <w:sz w:val="36"/>
                                <w:szCs w:val="36"/>
                              </w:rPr>
                              <w:t>110</w:t>
                            </w:r>
                            <w:r w:rsidRPr="005B6B3A">
                              <w:rPr>
                                <w:rFonts w:ascii="Cambria" w:hAnsi="Cambria" w:cs="Cambria"/>
                                <w:b/>
                                <w:bCs/>
                                <w:color w:val="0D0D0D"/>
                                <w:sz w:val="36"/>
                                <w:szCs w:val="36"/>
                              </w:rPr>
                              <w:t>/23</w:t>
                            </w:r>
                          </w:p>
                          <w:p w14:paraId="62E3C48B" w14:textId="77777777" w:rsidR="00C34FDB" w:rsidRPr="005B6B3A"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color w:val="0D0D0D"/>
                                <w:sz w:val="36"/>
                                <w:szCs w:val="36"/>
                              </w:rPr>
                            </w:pPr>
                            <w:r w:rsidRPr="005B6B3A">
                              <w:rPr>
                                <w:rFonts w:ascii="Cambria" w:hAnsi="Cambria" w:cs="Cambria"/>
                                <w:b/>
                                <w:bCs/>
                                <w:color w:val="0D0D0D"/>
                                <w:sz w:val="36"/>
                                <w:szCs w:val="36"/>
                              </w:rPr>
                              <w:t>CASE 14.577</w:t>
                            </w:r>
                          </w:p>
                          <w:p w14:paraId="56F7E601"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rPr>
                            </w:pPr>
                            <w:r w:rsidRPr="00D567E8">
                              <w:rPr>
                                <w:rFonts w:ascii="Cambria" w:hAnsi="Cambria" w:cs="Cambria"/>
                                <w:color w:val="0D0D0D"/>
                                <w:sz w:val="22"/>
                                <w:szCs w:val="22"/>
                              </w:rPr>
                              <w:t xml:space="preserve">REPORT ON FRIENDLY SETTLEMENT </w:t>
                            </w:r>
                          </w:p>
                          <w:p w14:paraId="7F3FA893"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rPr>
                            </w:pPr>
                          </w:p>
                          <w:p w14:paraId="4833050A"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lang w:val="es-CO"/>
                              </w:rPr>
                            </w:pPr>
                            <w:r w:rsidRPr="00D567E8">
                              <w:rPr>
                                <w:rFonts w:ascii="Cambria" w:hAnsi="Cambria" w:cs="Cambria"/>
                                <w:color w:val="0D0D0D"/>
                                <w:sz w:val="22"/>
                                <w:szCs w:val="22"/>
                                <w:lang w:val="es-CO"/>
                              </w:rPr>
                              <w:t>TEOBALDO ENRIQUE MARTINEZ FUENTES AND FAMILY</w:t>
                            </w:r>
                          </w:p>
                          <w:p w14:paraId="6855315D"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lang w:val="es-CO"/>
                              </w:rPr>
                            </w:pPr>
                            <w:r w:rsidRPr="00D567E8">
                              <w:rPr>
                                <w:rFonts w:ascii="Cambria" w:hAnsi="Cambria" w:cs="Cambria"/>
                                <w:color w:val="0D0D0D"/>
                                <w:sz w:val="22"/>
                                <w:szCs w:val="22"/>
                                <w:lang w:val="es-CO"/>
                              </w:rPr>
                              <w:t>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1527"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" filled="f" stroked="f" strokeweight=".5pt">
                <v:textbox>
                  <w:txbxContent>
                    <w:p w14:paraId="2162B5C3" w14:textId="4E5A3382" w:rsidR="00C34FDB" w:rsidRPr="005B6B3A"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color w:val="0D0D0D"/>
                          <w:sz w:val="36"/>
                          <w:szCs w:val="36"/>
                        </w:rPr>
                      </w:pPr>
                      <w:r w:rsidRPr="005B6B3A">
                        <w:rPr>
                          <w:rFonts w:ascii="Cambria" w:hAnsi="Cambria" w:cs="Cambria"/>
                          <w:b/>
                          <w:bCs/>
                          <w:color w:val="0D0D0D"/>
                          <w:sz w:val="36"/>
                          <w:szCs w:val="36"/>
                        </w:rPr>
                        <w:t xml:space="preserve">REPORT No. </w:t>
                      </w:r>
                      <w:r w:rsidR="00FD4C2C">
                        <w:rPr>
                          <w:rFonts w:ascii="Cambria" w:hAnsi="Cambria" w:cs="Cambria"/>
                          <w:b/>
                          <w:bCs/>
                          <w:color w:val="0D0D0D"/>
                          <w:sz w:val="36"/>
                          <w:szCs w:val="36"/>
                        </w:rPr>
                        <w:t>110</w:t>
                      </w:r>
                      <w:r w:rsidRPr="005B6B3A">
                        <w:rPr>
                          <w:rFonts w:ascii="Cambria" w:hAnsi="Cambria" w:cs="Cambria"/>
                          <w:b/>
                          <w:bCs/>
                          <w:color w:val="0D0D0D"/>
                          <w:sz w:val="36"/>
                          <w:szCs w:val="36"/>
                        </w:rPr>
                        <w:t>/23</w:t>
                      </w:r>
                    </w:p>
                    <w:p w14:paraId="62E3C48B" w14:textId="77777777" w:rsidR="00C34FDB" w:rsidRPr="005B6B3A"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color w:val="0D0D0D"/>
                          <w:sz w:val="36"/>
                          <w:szCs w:val="36"/>
                        </w:rPr>
                      </w:pPr>
                      <w:r w:rsidRPr="005B6B3A">
                        <w:rPr>
                          <w:rFonts w:ascii="Cambria" w:hAnsi="Cambria" w:cs="Cambria"/>
                          <w:b/>
                          <w:bCs/>
                          <w:color w:val="0D0D0D"/>
                          <w:sz w:val="36"/>
                          <w:szCs w:val="36"/>
                        </w:rPr>
                        <w:t>CASE 14.577</w:t>
                      </w:r>
                    </w:p>
                    <w:p w14:paraId="56F7E601"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rPr>
                      </w:pPr>
                      <w:r w:rsidRPr="00D567E8">
                        <w:rPr>
                          <w:rFonts w:ascii="Cambria" w:hAnsi="Cambria" w:cs="Cambria"/>
                          <w:color w:val="0D0D0D"/>
                          <w:sz w:val="22"/>
                          <w:szCs w:val="22"/>
                        </w:rPr>
                        <w:t xml:space="preserve">REPORT ON FRIENDLY SETTLEMENT </w:t>
                      </w:r>
                    </w:p>
                    <w:p w14:paraId="7F3FA893"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rPr>
                      </w:pPr>
                    </w:p>
                    <w:p w14:paraId="4833050A"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lang w:val="es-CO"/>
                        </w:rPr>
                      </w:pPr>
                      <w:r w:rsidRPr="00D567E8">
                        <w:rPr>
                          <w:rFonts w:ascii="Cambria" w:hAnsi="Cambria" w:cs="Cambria"/>
                          <w:color w:val="0D0D0D"/>
                          <w:sz w:val="22"/>
                          <w:szCs w:val="22"/>
                          <w:lang w:val="es-CO"/>
                        </w:rPr>
                        <w:t>TEOBALDO ENRIQUE MARTINEZ FUENTES AND FAMILY</w:t>
                      </w:r>
                    </w:p>
                    <w:p w14:paraId="6855315D" w14:textId="77777777" w:rsidR="00C34FDB" w:rsidRPr="00D567E8" w:rsidRDefault="00C34FD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sz w:val="22"/>
                          <w:szCs w:val="22"/>
                          <w:lang w:val="es-CO"/>
                        </w:rPr>
                      </w:pPr>
                      <w:r w:rsidRPr="00D567E8">
                        <w:rPr>
                          <w:rFonts w:ascii="Cambria" w:hAnsi="Cambria" w:cs="Cambria"/>
                          <w:color w:val="0D0D0D"/>
                          <w:sz w:val="22"/>
                          <w:szCs w:val="22"/>
                          <w:lang w:val="es-CO"/>
                        </w:rPr>
                        <w:t>COLOMBIA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A4C2C46" wp14:editId="2C39402F">
                <wp:simplePos x="0" y="0"/>
                <wp:positionH relativeFrom="column">
                  <wp:posOffset>-371475</wp:posOffset>
                </wp:positionH>
                <wp:positionV relativeFrom="paragraph">
                  <wp:posOffset>127000</wp:posOffset>
                </wp:positionV>
                <wp:extent cx="1334135" cy="1377315"/>
                <wp:effectExtent l="0" t="635" r="0" b="3175"/>
                <wp:wrapNone/>
                <wp:docPr id="18153115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A348D1" w14:textId="34BA4873" w:rsidR="00C34FDB" w:rsidRPr="00FD4C2C"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FD4C2C">
                              <w:rPr>
                                <w:rFonts w:ascii="Calibri" w:hAnsi="Calibri" w:cs="Calibri"/>
                                <w:color w:val="FFFFFF"/>
                                <w:sz w:val="22"/>
                                <w:szCs w:val="22"/>
                              </w:rPr>
                              <w:t>OEA/</w:t>
                            </w:r>
                            <w:proofErr w:type="spellStart"/>
                            <w:r w:rsidRPr="00FD4C2C">
                              <w:rPr>
                                <w:rFonts w:ascii="Calibri" w:hAnsi="Calibri" w:cs="Calibri"/>
                                <w:color w:val="FFFFFF"/>
                                <w:sz w:val="22"/>
                                <w:szCs w:val="22"/>
                              </w:rPr>
                              <w:t>Ser.L</w:t>
                            </w:r>
                            <w:proofErr w:type="spellEnd"/>
                            <w:r w:rsidRPr="00FD4C2C">
                              <w:rPr>
                                <w:rFonts w:ascii="Calibri" w:hAnsi="Calibri" w:cs="Calibri"/>
                                <w:color w:val="FFFFFF"/>
                                <w:sz w:val="22"/>
                                <w:szCs w:val="22"/>
                              </w:rPr>
                              <w:t>/V/II</w:t>
                            </w:r>
                          </w:p>
                          <w:p w14:paraId="462D6A9E" w14:textId="79E1F59B" w:rsidR="00C34FDB" w:rsidRPr="00FD4C2C"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FD4C2C">
                              <w:rPr>
                                <w:rFonts w:ascii="Calibri" w:hAnsi="Calibri" w:cs="Calibri"/>
                                <w:color w:val="FFFFFF"/>
                                <w:sz w:val="22"/>
                                <w:szCs w:val="22"/>
                              </w:rPr>
                              <w:t xml:space="preserve">Doc. </w:t>
                            </w:r>
                            <w:r w:rsidR="00FD4C2C" w:rsidRPr="00FD4C2C">
                              <w:rPr>
                                <w:rFonts w:ascii="Calibri" w:hAnsi="Calibri" w:cs="Calibri"/>
                                <w:color w:val="FFFFFF"/>
                                <w:sz w:val="22"/>
                                <w:szCs w:val="22"/>
                              </w:rPr>
                              <w:t>120</w:t>
                            </w:r>
                          </w:p>
                          <w:p w14:paraId="5760106E" w14:textId="5F8BFCC0" w:rsidR="00C34FDB" w:rsidRPr="005B6B3A" w:rsidRDefault="00FD4C2C"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Pr>
                                <w:rFonts w:ascii="Calibri" w:hAnsi="Calibri" w:cs="Calibri"/>
                                <w:color w:val="FFFFFF"/>
                                <w:sz w:val="22"/>
                                <w:szCs w:val="22"/>
                              </w:rPr>
                              <w:t>26 July</w:t>
                            </w:r>
                            <w:r w:rsidR="00C34FDB" w:rsidRPr="005B6B3A">
                              <w:rPr>
                                <w:rFonts w:ascii="Calibri" w:hAnsi="Calibri" w:cs="Calibri"/>
                                <w:color w:val="FFFFFF"/>
                                <w:sz w:val="22"/>
                                <w:szCs w:val="22"/>
                              </w:rPr>
                              <w:t xml:space="preserve"> 2023</w:t>
                            </w:r>
                          </w:p>
                          <w:p w14:paraId="1B632E6B" w14:textId="739F6164" w:rsidR="00C34FDB" w:rsidRPr="005B6B3A"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5B6B3A">
                              <w:rPr>
                                <w:rFonts w:ascii="Calibri" w:hAnsi="Calibri" w:cs="Calibri"/>
                                <w:color w:val="FFFFFF"/>
                                <w:sz w:val="22"/>
                                <w:szCs w:val="22"/>
                              </w:rPr>
                              <w:t xml:space="preserve">Original: </w:t>
                            </w:r>
                            <w:r w:rsidR="00171DDA">
                              <w:rPr>
                                <w:rFonts w:ascii="Calibri" w:hAnsi="Calibri" w:cs="Calibri"/>
                                <w:color w:val="FFFFFF"/>
                                <w:sz w:val="22"/>
                                <w:szCs w:val="22"/>
                              </w:rPr>
                              <w:t>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C2C46"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" filled="f" stroked="f" strokeweight=".5pt">
                <v:textbox>
                  <w:txbxContent>
                    <w:p w14:paraId="4FA348D1" w14:textId="34BA4873" w:rsidR="00C34FDB" w:rsidRPr="00FD4C2C"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FD4C2C">
                        <w:rPr>
                          <w:rFonts w:ascii="Calibri" w:hAnsi="Calibri" w:cs="Calibri"/>
                          <w:color w:val="FFFFFF"/>
                          <w:sz w:val="22"/>
                          <w:szCs w:val="22"/>
                        </w:rPr>
                        <w:t>OEA/</w:t>
                      </w:r>
                      <w:proofErr w:type="spellStart"/>
                      <w:r w:rsidRPr="00FD4C2C">
                        <w:rPr>
                          <w:rFonts w:ascii="Calibri" w:hAnsi="Calibri" w:cs="Calibri"/>
                          <w:color w:val="FFFFFF"/>
                          <w:sz w:val="22"/>
                          <w:szCs w:val="22"/>
                        </w:rPr>
                        <w:t>Ser.L</w:t>
                      </w:r>
                      <w:proofErr w:type="spellEnd"/>
                      <w:r w:rsidRPr="00FD4C2C">
                        <w:rPr>
                          <w:rFonts w:ascii="Calibri" w:hAnsi="Calibri" w:cs="Calibri"/>
                          <w:color w:val="FFFFFF"/>
                          <w:sz w:val="22"/>
                          <w:szCs w:val="22"/>
                        </w:rPr>
                        <w:t>/V/II</w:t>
                      </w:r>
                    </w:p>
                    <w:p w14:paraId="462D6A9E" w14:textId="79E1F59B" w:rsidR="00C34FDB" w:rsidRPr="00FD4C2C"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FD4C2C">
                        <w:rPr>
                          <w:rFonts w:ascii="Calibri" w:hAnsi="Calibri" w:cs="Calibri"/>
                          <w:color w:val="FFFFFF"/>
                          <w:sz w:val="22"/>
                          <w:szCs w:val="22"/>
                        </w:rPr>
                        <w:t xml:space="preserve">Doc. </w:t>
                      </w:r>
                      <w:r w:rsidR="00FD4C2C" w:rsidRPr="00FD4C2C">
                        <w:rPr>
                          <w:rFonts w:ascii="Calibri" w:hAnsi="Calibri" w:cs="Calibri"/>
                          <w:color w:val="FFFFFF"/>
                          <w:sz w:val="22"/>
                          <w:szCs w:val="22"/>
                        </w:rPr>
                        <w:t>120</w:t>
                      </w:r>
                    </w:p>
                    <w:p w14:paraId="5760106E" w14:textId="5F8BFCC0" w:rsidR="00C34FDB" w:rsidRPr="005B6B3A" w:rsidRDefault="00FD4C2C"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Pr>
                          <w:rFonts w:ascii="Calibri" w:hAnsi="Calibri" w:cs="Calibri"/>
                          <w:color w:val="FFFFFF"/>
                          <w:sz w:val="22"/>
                          <w:szCs w:val="22"/>
                        </w:rPr>
                        <w:t>26 July</w:t>
                      </w:r>
                      <w:r w:rsidR="00C34FDB" w:rsidRPr="005B6B3A">
                        <w:rPr>
                          <w:rFonts w:ascii="Calibri" w:hAnsi="Calibri" w:cs="Calibri"/>
                          <w:color w:val="FFFFFF"/>
                          <w:sz w:val="22"/>
                          <w:szCs w:val="22"/>
                        </w:rPr>
                        <w:t xml:space="preserve"> 2023</w:t>
                      </w:r>
                    </w:p>
                    <w:p w14:paraId="1B632E6B" w14:textId="739F6164" w:rsidR="00C34FDB" w:rsidRPr="005B6B3A" w:rsidRDefault="00C34FDB" w:rsidP="002C164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FFFFFF"/>
                          <w:sz w:val="22"/>
                          <w:szCs w:val="22"/>
                        </w:rPr>
                      </w:pPr>
                      <w:r w:rsidRPr="005B6B3A">
                        <w:rPr>
                          <w:rFonts w:ascii="Calibri" w:hAnsi="Calibri" w:cs="Calibri"/>
                          <w:color w:val="FFFFFF"/>
                          <w:sz w:val="22"/>
                          <w:szCs w:val="22"/>
                        </w:rPr>
                        <w:t xml:space="preserve">Original: </w:t>
                      </w:r>
                      <w:r w:rsidR="00171DDA">
                        <w:rPr>
                          <w:rFonts w:ascii="Calibri" w:hAnsi="Calibri" w:cs="Calibri"/>
                          <w:color w:val="FFFFFF"/>
                          <w:sz w:val="22"/>
                          <w:szCs w:val="22"/>
                        </w:rPr>
                        <w:t>Spanish</w:t>
                      </w:r>
                    </w:p>
                  </w:txbxContent>
                </v:textbox>
              </v:shape>
            </w:pict>
          </mc:Fallback>
        </mc:AlternateContent>
      </w:r>
    </w:p>
    <w:p w14:paraId="5535F949"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12A950E5"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04911FD6"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4E7F0286"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7990A7D7"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3D83E927"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0894555D"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3D9B7C3E"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10FA3DDA"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6B239A2D"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4FDEA336"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2B2839FE"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414583EA"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2"/>
          <w:szCs w:val="22"/>
        </w:rPr>
      </w:pPr>
    </w:p>
    <w:p w14:paraId="22E27C28"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65C1BD55"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54894590"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313E7D6E"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455EAFD0"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5C8BAA02"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7505FAB2"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016F750E"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2BEA4D43"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56A2DF80"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416526E0"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60913AC9"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3E8921F0" w14:textId="2ED68D6C" w:rsidR="00C34FDB" w:rsidRPr="00F31EB3" w:rsidRDefault="00AA7F0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14:anchorId="774B2842" wp14:editId="12219ED2">
                <wp:simplePos x="0" y="0"/>
                <wp:positionH relativeFrom="column">
                  <wp:posOffset>1209675</wp:posOffset>
                </wp:positionH>
                <wp:positionV relativeFrom="paragraph">
                  <wp:posOffset>71120</wp:posOffset>
                </wp:positionV>
                <wp:extent cx="4595495" cy="695325"/>
                <wp:effectExtent l="0" t="0" r="0" b="2540"/>
                <wp:wrapNone/>
                <wp:docPr id="16366326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2A2542" w14:textId="03A25A2D" w:rsidR="00C34FDB" w:rsidRPr="005B6B3A" w:rsidRDefault="00C34FDB"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Cambria"/>
                                <w:color w:val="0D0D0D"/>
                                <w:sz w:val="18"/>
                                <w:szCs w:val="18"/>
                              </w:rPr>
                            </w:pPr>
                            <w:r w:rsidRPr="005B6B3A">
                              <w:rPr>
                                <w:rFonts w:ascii="Cambria" w:hAnsi="Cambria" w:cs="Cambria"/>
                                <w:color w:val="0D0D0D"/>
                                <w:sz w:val="18"/>
                                <w:szCs w:val="18"/>
                              </w:rPr>
                              <w:t xml:space="preserve">Approved electronically by the Commission on </w:t>
                            </w:r>
                            <w:r w:rsidR="00FD4C2C">
                              <w:rPr>
                                <w:rFonts w:ascii="Cambria" w:hAnsi="Cambria" w:cs="Cambria"/>
                                <w:color w:val="0D0D0D"/>
                                <w:sz w:val="18"/>
                                <w:szCs w:val="18"/>
                              </w:rPr>
                              <w:t>July 26</w:t>
                            </w:r>
                            <w:r w:rsidRPr="005B6B3A">
                              <w:rPr>
                                <w:rFonts w:ascii="Cambria" w:hAnsi="Cambria" w:cs="Cambria"/>
                                <w:color w:val="0D0D0D"/>
                                <w:sz w:val="18"/>
                                <w:szCs w:val="18"/>
                              </w:rPr>
                              <w:t>, 2023</w:t>
                            </w:r>
                            <w:r w:rsidR="00FD4C2C">
                              <w:rPr>
                                <w:rFonts w:ascii="Cambria" w:hAnsi="Cambria" w:cs="Cambria"/>
                                <w:color w:val="0D0D0D"/>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2842"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" filled="f" stroked="f" strokeweight=".5pt">
                <v:textbox>
                  <w:txbxContent>
                    <w:p w14:paraId="482A2542" w14:textId="03A25A2D" w:rsidR="00C34FDB" w:rsidRPr="005B6B3A" w:rsidRDefault="00C34FDB"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Cambria"/>
                          <w:color w:val="0D0D0D"/>
                          <w:sz w:val="18"/>
                          <w:szCs w:val="18"/>
                        </w:rPr>
                      </w:pPr>
                      <w:r w:rsidRPr="005B6B3A">
                        <w:rPr>
                          <w:rFonts w:ascii="Cambria" w:hAnsi="Cambria" w:cs="Cambria"/>
                          <w:color w:val="0D0D0D"/>
                          <w:sz w:val="18"/>
                          <w:szCs w:val="18"/>
                        </w:rPr>
                        <w:t xml:space="preserve">Approved electronically by the Commission on </w:t>
                      </w:r>
                      <w:r w:rsidR="00FD4C2C">
                        <w:rPr>
                          <w:rFonts w:ascii="Cambria" w:hAnsi="Cambria" w:cs="Cambria"/>
                          <w:color w:val="0D0D0D"/>
                          <w:sz w:val="18"/>
                          <w:szCs w:val="18"/>
                        </w:rPr>
                        <w:t>July 26</w:t>
                      </w:r>
                      <w:r w:rsidRPr="005B6B3A">
                        <w:rPr>
                          <w:rFonts w:ascii="Cambria" w:hAnsi="Cambria" w:cs="Cambria"/>
                          <w:color w:val="0D0D0D"/>
                          <w:sz w:val="18"/>
                          <w:szCs w:val="18"/>
                        </w:rPr>
                        <w:t>, 2023</w:t>
                      </w:r>
                      <w:r w:rsidR="00FD4C2C">
                        <w:rPr>
                          <w:rFonts w:ascii="Cambria" w:hAnsi="Cambria" w:cs="Cambria"/>
                          <w:color w:val="0D0D0D"/>
                          <w:sz w:val="18"/>
                          <w:szCs w:val="18"/>
                        </w:rPr>
                        <w:t>.</w:t>
                      </w:r>
                    </w:p>
                  </w:txbxContent>
                </v:textbox>
              </v:shape>
            </w:pict>
          </mc:Fallback>
        </mc:AlternateContent>
      </w:r>
    </w:p>
    <w:p w14:paraId="2DE7C3C3"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2F4DE5EF"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5A7AD059"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3497CDF5"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3EC511DC" w14:textId="343FA4B9" w:rsidR="00C34FDB" w:rsidRPr="00F31EB3" w:rsidRDefault="00AA7F0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14:anchorId="195470FA" wp14:editId="2C4D804C">
                <wp:simplePos x="0" y="0"/>
                <wp:positionH relativeFrom="column">
                  <wp:posOffset>1209675</wp:posOffset>
                </wp:positionH>
                <wp:positionV relativeFrom="paragraph">
                  <wp:posOffset>92075</wp:posOffset>
                </wp:positionV>
                <wp:extent cx="4824095" cy="609600"/>
                <wp:effectExtent l="0" t="2540" r="0" b="0"/>
                <wp:wrapNone/>
                <wp:docPr id="17339921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DC657F" w14:textId="7513B06C" w:rsidR="00C34FDB" w:rsidRPr="005B6B3A" w:rsidRDefault="00C34FDB"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595959"/>
                                <w:sz w:val="18"/>
                                <w:szCs w:val="18"/>
                              </w:rPr>
                            </w:pPr>
                            <w:r w:rsidRPr="005B6B3A">
                              <w:rPr>
                                <w:rFonts w:ascii="Cambria" w:hAnsi="Cambria" w:cs="Cambria"/>
                                <w:b/>
                                <w:bCs/>
                                <w:color w:val="595959"/>
                                <w:sz w:val="18"/>
                                <w:szCs w:val="18"/>
                              </w:rPr>
                              <w:t xml:space="preserve">Cite as: </w:t>
                            </w:r>
                            <w:r w:rsidRPr="005B6B3A">
                              <w:rPr>
                                <w:rFonts w:ascii="Cambria" w:hAnsi="Cambria" w:cs="Cambria"/>
                                <w:color w:val="595959"/>
                                <w:sz w:val="18"/>
                                <w:szCs w:val="18"/>
                              </w:rPr>
                              <w:t>IACHR, Report No.</w:t>
                            </w:r>
                            <w:r w:rsidR="003739A4">
                              <w:rPr>
                                <w:rFonts w:ascii="Cambria" w:hAnsi="Cambria" w:cs="Cambria"/>
                                <w:color w:val="595959"/>
                                <w:sz w:val="18"/>
                                <w:szCs w:val="18"/>
                              </w:rPr>
                              <w:t xml:space="preserve"> 110</w:t>
                            </w:r>
                            <w:r w:rsidR="00171DDA">
                              <w:rPr>
                                <w:rFonts w:ascii="Cambria" w:hAnsi="Cambria" w:cs="Cambria"/>
                                <w:color w:val="595959"/>
                                <w:sz w:val="18"/>
                                <w:szCs w:val="18"/>
                              </w:rPr>
                              <w:t>/23</w:t>
                            </w:r>
                            <w:r w:rsidRPr="005B6B3A">
                              <w:rPr>
                                <w:rFonts w:ascii="Cambria" w:hAnsi="Cambria" w:cs="Cambria"/>
                                <w:color w:val="595959"/>
                                <w:sz w:val="18"/>
                                <w:szCs w:val="18"/>
                              </w:rPr>
                              <w:t xml:space="preserve">, Case </w:t>
                            </w:r>
                            <w:r w:rsidR="00FB6AFF">
                              <w:rPr>
                                <w:rFonts w:ascii="Cambria" w:hAnsi="Cambria" w:cs="Cambria"/>
                                <w:color w:val="595959"/>
                                <w:sz w:val="18"/>
                                <w:szCs w:val="18"/>
                              </w:rPr>
                              <w:t>14.577.</w:t>
                            </w:r>
                            <w:r w:rsidRPr="005B6B3A">
                              <w:rPr>
                                <w:rFonts w:ascii="Cambria" w:hAnsi="Cambria" w:cs="Cambria"/>
                                <w:color w:val="595959"/>
                                <w:sz w:val="18"/>
                                <w:szCs w:val="18"/>
                              </w:rPr>
                              <w:t xml:space="preserve"> Friendly Settlement.</w:t>
                            </w:r>
                            <w:r w:rsidR="00FB6AFF">
                              <w:rPr>
                                <w:rFonts w:ascii="Cambria" w:hAnsi="Cambria" w:cs="Cambria"/>
                                <w:color w:val="595959"/>
                                <w:sz w:val="18"/>
                                <w:szCs w:val="18"/>
                              </w:rPr>
                              <w:t xml:space="preserve"> Teobaldo Enrique Martinez Fuentes and Family</w:t>
                            </w:r>
                            <w:r w:rsidRPr="005B6B3A">
                              <w:rPr>
                                <w:rFonts w:ascii="Cambria" w:hAnsi="Cambria" w:cs="Cambria"/>
                                <w:color w:val="595959"/>
                                <w:sz w:val="18"/>
                                <w:szCs w:val="18"/>
                              </w:rPr>
                              <w:t xml:space="preserve">. </w:t>
                            </w:r>
                            <w:r w:rsidR="007848B7">
                              <w:rPr>
                                <w:rFonts w:ascii="Cambria" w:hAnsi="Cambria" w:cs="Cambria"/>
                                <w:color w:val="595959"/>
                                <w:sz w:val="18"/>
                                <w:szCs w:val="18"/>
                              </w:rPr>
                              <w:t>July 26</w:t>
                            </w:r>
                            <w:r w:rsidR="00FB6AFF">
                              <w:rPr>
                                <w:rFonts w:ascii="Cambria" w:hAnsi="Cambria" w:cs="Cambria"/>
                                <w:color w:val="595959"/>
                                <w:sz w:val="18"/>
                                <w:szCs w:val="18"/>
                              </w:rPr>
                              <w:t>, 2023</w:t>
                            </w:r>
                            <w:r w:rsidRPr="005B6B3A">
                              <w:rPr>
                                <w:rFonts w:ascii="Cambria" w:hAnsi="Cambria" w:cs="Cambria"/>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70FA"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" filled="f" stroked="f" strokeweight=".5pt">
                <v:textbox>
                  <w:txbxContent>
                    <w:p w14:paraId="32DC657F" w14:textId="7513B06C" w:rsidR="00C34FDB" w:rsidRPr="005B6B3A" w:rsidRDefault="00C34FDB"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595959"/>
                          <w:sz w:val="18"/>
                          <w:szCs w:val="18"/>
                        </w:rPr>
                      </w:pPr>
                      <w:r w:rsidRPr="005B6B3A">
                        <w:rPr>
                          <w:rFonts w:ascii="Cambria" w:hAnsi="Cambria" w:cs="Cambria"/>
                          <w:b/>
                          <w:bCs/>
                          <w:color w:val="595959"/>
                          <w:sz w:val="18"/>
                          <w:szCs w:val="18"/>
                        </w:rPr>
                        <w:t xml:space="preserve">Cite as: </w:t>
                      </w:r>
                      <w:r w:rsidRPr="005B6B3A">
                        <w:rPr>
                          <w:rFonts w:ascii="Cambria" w:hAnsi="Cambria" w:cs="Cambria"/>
                          <w:color w:val="595959"/>
                          <w:sz w:val="18"/>
                          <w:szCs w:val="18"/>
                        </w:rPr>
                        <w:t>IACHR, Report No.</w:t>
                      </w:r>
                      <w:r w:rsidR="003739A4">
                        <w:rPr>
                          <w:rFonts w:ascii="Cambria" w:hAnsi="Cambria" w:cs="Cambria"/>
                          <w:color w:val="595959"/>
                          <w:sz w:val="18"/>
                          <w:szCs w:val="18"/>
                        </w:rPr>
                        <w:t xml:space="preserve"> 110</w:t>
                      </w:r>
                      <w:r w:rsidR="00171DDA">
                        <w:rPr>
                          <w:rFonts w:ascii="Cambria" w:hAnsi="Cambria" w:cs="Cambria"/>
                          <w:color w:val="595959"/>
                          <w:sz w:val="18"/>
                          <w:szCs w:val="18"/>
                        </w:rPr>
                        <w:t>/23</w:t>
                      </w:r>
                      <w:r w:rsidRPr="005B6B3A">
                        <w:rPr>
                          <w:rFonts w:ascii="Cambria" w:hAnsi="Cambria" w:cs="Cambria"/>
                          <w:color w:val="595959"/>
                          <w:sz w:val="18"/>
                          <w:szCs w:val="18"/>
                        </w:rPr>
                        <w:t xml:space="preserve">, Case </w:t>
                      </w:r>
                      <w:r w:rsidR="00FB6AFF">
                        <w:rPr>
                          <w:rFonts w:ascii="Cambria" w:hAnsi="Cambria" w:cs="Cambria"/>
                          <w:color w:val="595959"/>
                          <w:sz w:val="18"/>
                          <w:szCs w:val="18"/>
                        </w:rPr>
                        <w:t>14.577.</w:t>
                      </w:r>
                      <w:r w:rsidRPr="005B6B3A">
                        <w:rPr>
                          <w:rFonts w:ascii="Cambria" w:hAnsi="Cambria" w:cs="Cambria"/>
                          <w:color w:val="595959"/>
                          <w:sz w:val="18"/>
                          <w:szCs w:val="18"/>
                        </w:rPr>
                        <w:t xml:space="preserve"> Friendly Settlement.</w:t>
                      </w:r>
                      <w:r w:rsidR="00FB6AFF">
                        <w:rPr>
                          <w:rFonts w:ascii="Cambria" w:hAnsi="Cambria" w:cs="Cambria"/>
                          <w:color w:val="595959"/>
                          <w:sz w:val="18"/>
                          <w:szCs w:val="18"/>
                        </w:rPr>
                        <w:t xml:space="preserve"> Teobaldo Enrique Martinez Fuentes and Family</w:t>
                      </w:r>
                      <w:r w:rsidRPr="005B6B3A">
                        <w:rPr>
                          <w:rFonts w:ascii="Cambria" w:hAnsi="Cambria" w:cs="Cambria"/>
                          <w:color w:val="595959"/>
                          <w:sz w:val="18"/>
                          <w:szCs w:val="18"/>
                        </w:rPr>
                        <w:t xml:space="preserve">. </w:t>
                      </w:r>
                      <w:r w:rsidR="007848B7">
                        <w:rPr>
                          <w:rFonts w:ascii="Cambria" w:hAnsi="Cambria" w:cs="Cambria"/>
                          <w:color w:val="595959"/>
                          <w:sz w:val="18"/>
                          <w:szCs w:val="18"/>
                        </w:rPr>
                        <w:t>July 26</w:t>
                      </w:r>
                      <w:r w:rsidR="00FB6AFF">
                        <w:rPr>
                          <w:rFonts w:ascii="Cambria" w:hAnsi="Cambria" w:cs="Cambria"/>
                          <w:color w:val="595959"/>
                          <w:sz w:val="18"/>
                          <w:szCs w:val="18"/>
                        </w:rPr>
                        <w:t>, 2023</w:t>
                      </w:r>
                      <w:r w:rsidRPr="005B6B3A">
                        <w:rPr>
                          <w:rFonts w:ascii="Cambria" w:hAnsi="Cambria" w:cs="Cambria"/>
                          <w:color w:val="595959"/>
                          <w:sz w:val="18"/>
                          <w:szCs w:val="18"/>
                        </w:rPr>
                        <w:t>.</w:t>
                      </w:r>
                    </w:p>
                  </w:txbxContent>
                </v:textbox>
              </v:shape>
            </w:pict>
          </mc:Fallback>
        </mc:AlternateContent>
      </w:r>
    </w:p>
    <w:p w14:paraId="294B074E"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3E6401C5" w14:textId="77777777" w:rsidR="00C34FDB" w:rsidRPr="00F31EB3" w:rsidRDefault="00C34FD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1DA4B284" w14:textId="77777777" w:rsidR="00C34FDB" w:rsidRPr="00F31EB3" w:rsidRDefault="00C34FDB"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52614486" w14:textId="4D9F5B29" w:rsidR="00C34FDB" w:rsidRPr="00F31EB3" w:rsidRDefault="007848B7"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60288" behindDoc="0" locked="0" layoutInCell="1" allowOverlap="1" wp14:anchorId="3AEACBDD" wp14:editId="61D8A129">
                <wp:simplePos x="0" y="0"/>
                <wp:positionH relativeFrom="column">
                  <wp:posOffset>1170305</wp:posOffset>
                </wp:positionH>
                <wp:positionV relativeFrom="paragraph">
                  <wp:posOffset>722630</wp:posOffset>
                </wp:positionV>
                <wp:extent cx="2085975" cy="485775"/>
                <wp:effectExtent l="0" t="0" r="9525" b="9525"/>
                <wp:wrapNone/>
                <wp:docPr id="1456440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4ABD1A" w14:textId="69F30C1B" w:rsidR="00C34FDB" w:rsidRDefault="00AA7F03">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612CCFE" wp14:editId="427A53F1">
                                  <wp:extent cx="1543050" cy="342900"/>
                                  <wp:effectExtent l="0" t="0" r="0" b="0"/>
                                  <wp:docPr id="4"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CBDD" id="Text Box 2" o:spid="_x0000_s1031" type="#_x0000_t202" style="position:absolute;left:0;text-align:left;margin-left:92.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" stroked="f" strokeweight=".5pt">
                <v:textbox>
                  <w:txbxContent>
                    <w:p w14:paraId="384ABD1A" w14:textId="69F30C1B" w:rsidR="00C34FDB" w:rsidRDefault="00AA7F03">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612CCFE" wp14:editId="427A53F1">
                            <wp:extent cx="1543050" cy="342900"/>
                            <wp:effectExtent l="0" t="0" r="0" b="0"/>
                            <wp:docPr id="4"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42900"/>
                                    </a:xfrm>
                                    <a:prstGeom prst="rect">
                                      <a:avLst/>
                                    </a:prstGeom>
                                    <a:noFill/>
                                    <a:ln>
                                      <a:noFill/>
                                    </a:ln>
                                  </pic:spPr>
                                </pic:pic>
                              </a:graphicData>
                            </a:graphic>
                          </wp:inline>
                        </w:drawing>
                      </w:r>
                    </w:p>
                  </w:txbxContent>
                </v:textbox>
              </v:shape>
            </w:pict>
          </mc:Fallback>
        </mc:AlternateContent>
      </w:r>
      <w:r w:rsidR="00AA7F03">
        <w:rPr>
          <w:noProof/>
        </w:rPr>
        <mc:AlternateContent>
          <mc:Choice Requires="wps">
            <w:drawing>
              <wp:anchor distT="0" distB="0" distL="114300" distR="114300" simplePos="0" relativeHeight="251661312" behindDoc="0" locked="0" layoutInCell="1" allowOverlap="1" wp14:anchorId="577EEA2E" wp14:editId="757921F6">
                <wp:simplePos x="0" y="0"/>
                <wp:positionH relativeFrom="column">
                  <wp:posOffset>-299085</wp:posOffset>
                </wp:positionH>
                <wp:positionV relativeFrom="paragraph">
                  <wp:posOffset>859155</wp:posOffset>
                </wp:positionV>
                <wp:extent cx="1181100" cy="332740"/>
                <wp:effectExtent l="0" t="635" r="3810" b="0"/>
                <wp:wrapNone/>
                <wp:docPr id="4746649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0B9B07" w14:textId="77777777" w:rsidR="00C34FDB" w:rsidRPr="005B6B3A" w:rsidRDefault="00C34FDB" w:rsidP="006311DA">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FFFFFF"/>
                              </w:rPr>
                            </w:pPr>
                            <w:r w:rsidRPr="005B6B3A">
                              <w:rPr>
                                <w:rFonts w:ascii="Calibri" w:hAnsi="Calibri" w:cs="Calibri"/>
                                <w:b/>
                                <w:bCs/>
                                <w:color w:val="FFFFFF"/>
                                <w:lang w:val="pt-BR"/>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EA2E" id="Text Box 3" o:spid="_x0000_s1032"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" filled="f" stroked="f" strokeweight=".5pt">
                <v:textbox>
                  <w:txbxContent>
                    <w:p w14:paraId="310B9B07" w14:textId="77777777" w:rsidR="00C34FDB" w:rsidRPr="005B6B3A" w:rsidRDefault="00C34FDB" w:rsidP="006311DA">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FFFFFF"/>
                        </w:rPr>
                      </w:pPr>
                      <w:r w:rsidRPr="005B6B3A">
                        <w:rPr>
                          <w:rFonts w:ascii="Calibri" w:hAnsi="Calibri" w:cs="Calibri"/>
                          <w:b/>
                          <w:bCs/>
                          <w:color w:val="FFFFFF"/>
                          <w:lang w:val="pt-BR"/>
                        </w:rPr>
                        <w:t>www.cidh.org</w:t>
                      </w:r>
                    </w:p>
                  </w:txbxContent>
                </v:textbox>
              </v:shape>
            </w:pict>
          </mc:Fallback>
        </mc:AlternateContent>
      </w:r>
    </w:p>
    <w:p w14:paraId="788EA8F6" w14:textId="77777777" w:rsidR="00C34FDB" w:rsidRPr="00F31EB3" w:rsidRDefault="00C34FDB"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sectPr w:rsidR="00C34FDB" w:rsidRPr="00F31EB3" w:rsidSect="00853419">
          <w:headerReference w:type="default" r:id="rId9"/>
          <w:footerReference w:type="default" r:id="rId10"/>
          <w:footerReference w:type="first" r:id="rId11"/>
          <w:type w:val="oddPage"/>
          <w:pgSz w:w="12240" w:h="15840"/>
          <w:pgMar w:top="1440" w:right="1440" w:bottom="1440" w:left="1440" w:header="720" w:footer="720" w:gutter="0"/>
          <w:pgNumType w:start="0"/>
          <w:cols w:space="720"/>
          <w:titlePg/>
          <w:docGrid w:linePitch="326"/>
        </w:sectPr>
      </w:pPr>
    </w:p>
    <w:p w14:paraId="13F4CEDF" w14:textId="79EF0033"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b/>
          <w:bCs/>
          <w:sz w:val="18"/>
          <w:szCs w:val="18"/>
        </w:rPr>
      </w:pPr>
      <w:r w:rsidRPr="00F31EB3">
        <w:rPr>
          <w:rFonts w:ascii="Cambria" w:hAnsi="Cambria" w:cs="Cambria"/>
          <w:b/>
          <w:bCs/>
          <w:sz w:val="18"/>
          <w:szCs w:val="18"/>
        </w:rPr>
        <w:lastRenderedPageBreak/>
        <w:t xml:space="preserve">REPORT No. </w:t>
      </w:r>
      <w:r w:rsidR="007848B7">
        <w:rPr>
          <w:rFonts w:ascii="Cambria" w:hAnsi="Cambria" w:cs="Cambria"/>
          <w:b/>
          <w:bCs/>
          <w:sz w:val="18"/>
          <w:szCs w:val="18"/>
        </w:rPr>
        <w:t>110</w:t>
      </w:r>
      <w:r w:rsidRPr="00F31EB3">
        <w:rPr>
          <w:rFonts w:ascii="Cambria" w:hAnsi="Cambria" w:cs="Cambria"/>
          <w:b/>
          <w:bCs/>
          <w:sz w:val="18"/>
          <w:szCs w:val="18"/>
        </w:rPr>
        <w:t>/23</w:t>
      </w:r>
    </w:p>
    <w:p w14:paraId="31B0EAE6"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b/>
          <w:bCs/>
          <w:sz w:val="18"/>
          <w:szCs w:val="18"/>
        </w:rPr>
      </w:pPr>
      <w:r w:rsidRPr="00F31EB3">
        <w:rPr>
          <w:rFonts w:ascii="Cambria" w:hAnsi="Cambria" w:cs="Cambria"/>
          <w:b/>
          <w:bCs/>
          <w:sz w:val="18"/>
          <w:szCs w:val="18"/>
        </w:rPr>
        <w:t>CASE 14.577</w:t>
      </w:r>
    </w:p>
    <w:p w14:paraId="6B3041A2"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sidRPr="00F31EB3">
        <w:rPr>
          <w:rFonts w:ascii="Cambria" w:hAnsi="Cambria" w:cs="Cambria"/>
          <w:sz w:val="18"/>
          <w:szCs w:val="18"/>
        </w:rPr>
        <w:t xml:space="preserve">FRIENDLY SETTLEMENT </w:t>
      </w:r>
    </w:p>
    <w:p w14:paraId="3552DA04" w14:textId="77777777" w:rsidR="00C34FDB" w:rsidRPr="00D567E8" w:rsidRDefault="00C34FDB" w:rsidP="00F3643E">
      <w:pPr>
        <w:pStyle w:val="paragraph"/>
        <w:spacing w:before="0" w:beforeAutospacing="0" w:after="0" w:afterAutospacing="0"/>
        <w:jc w:val="center"/>
        <w:textAlignment w:val="baseline"/>
        <w:rPr>
          <w:rFonts w:ascii="Cambria" w:hAnsi="Cambria" w:cs="Cambria"/>
          <w:sz w:val="18"/>
          <w:szCs w:val="18"/>
        </w:rPr>
      </w:pPr>
      <w:r w:rsidRPr="00D567E8">
        <w:rPr>
          <w:rFonts w:ascii="Cambria" w:hAnsi="Cambria" w:cs="Cambria"/>
          <w:sz w:val="18"/>
          <w:szCs w:val="18"/>
        </w:rPr>
        <w:t>TEOBALDO ENRIQUE MARTÍNEZ FUENTES AND FAMILY</w:t>
      </w:r>
    </w:p>
    <w:p w14:paraId="4682902A"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sidRPr="00F31EB3">
        <w:rPr>
          <w:rFonts w:ascii="Cambria" w:hAnsi="Cambria" w:cs="Cambria"/>
          <w:sz w:val="18"/>
          <w:szCs w:val="18"/>
        </w:rPr>
        <w:t>COLOMBIA</w:t>
      </w:r>
      <w:r w:rsidRPr="00F31EB3">
        <w:rPr>
          <w:rFonts w:ascii="Cambria" w:hAnsi="Cambria" w:cs="Cambria"/>
          <w:sz w:val="18"/>
          <w:szCs w:val="18"/>
          <w:vertAlign w:val="superscript"/>
        </w:rPr>
        <w:footnoteReference w:id="2"/>
      </w:r>
      <w:r w:rsidRPr="00F31EB3">
        <w:rPr>
          <w:rFonts w:ascii="Cambria" w:hAnsi="Cambria" w:cs="Cambria"/>
          <w:sz w:val="18"/>
          <w:szCs w:val="18"/>
        </w:rPr>
        <w:t xml:space="preserve"> </w:t>
      </w:r>
    </w:p>
    <w:p w14:paraId="19E16464" w14:textId="2FB326FE" w:rsidR="00C34FDB" w:rsidRDefault="00346D36" w:rsidP="00D567E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r w:rsidRPr="007848B7">
        <w:rPr>
          <w:rFonts w:ascii="Cambria" w:hAnsi="Cambria" w:cs="Cambria"/>
          <w:sz w:val="18"/>
          <w:szCs w:val="18"/>
        </w:rPr>
        <w:t>JULY</w:t>
      </w:r>
      <w:r w:rsidR="00FB6AFF" w:rsidRPr="00F31EB3">
        <w:rPr>
          <w:rFonts w:ascii="Cambria" w:hAnsi="Cambria" w:cs="Cambria"/>
          <w:sz w:val="18"/>
          <w:szCs w:val="18"/>
        </w:rPr>
        <w:t xml:space="preserve"> </w:t>
      </w:r>
      <w:r w:rsidR="007848B7">
        <w:rPr>
          <w:rFonts w:ascii="Cambria" w:hAnsi="Cambria" w:cs="Cambria"/>
          <w:sz w:val="18"/>
          <w:szCs w:val="18"/>
        </w:rPr>
        <w:t>26</w:t>
      </w:r>
      <w:r w:rsidR="00C34FDB" w:rsidRPr="00F31EB3">
        <w:rPr>
          <w:rFonts w:ascii="Cambria" w:hAnsi="Cambria" w:cs="Cambria"/>
          <w:sz w:val="18"/>
          <w:szCs w:val="18"/>
        </w:rPr>
        <w:t>, 2023</w:t>
      </w:r>
      <w:r w:rsidR="00C34FDB" w:rsidRPr="00F31EB3">
        <w:rPr>
          <w:rFonts w:ascii="Cambria" w:hAnsi="Cambria" w:cs="Cambria"/>
          <w:sz w:val="18"/>
          <w:szCs w:val="18"/>
        </w:rPr>
        <w:br/>
      </w:r>
    </w:p>
    <w:p w14:paraId="08302ED9" w14:textId="77777777" w:rsidR="00D567E8" w:rsidRPr="00F31EB3" w:rsidRDefault="00D567E8" w:rsidP="00D567E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rPr>
      </w:pPr>
    </w:p>
    <w:p w14:paraId="76D50E97" w14:textId="77777777" w:rsidR="00C34FDB" w:rsidRPr="00F31EB3" w:rsidRDefault="00C34FDB" w:rsidP="004E1315">
      <w:pPr>
        <w:pStyle w:val="List"/>
        <w:numPr>
          <w:ilvl w:val="0"/>
          <w:numId w:val="51"/>
        </w:numPr>
        <w:pBdr>
          <w:top w:val="none" w:sz="0" w:space="0" w:color="auto"/>
          <w:left w:val="none" w:sz="0" w:space="0" w:color="auto"/>
          <w:bottom w:val="none" w:sz="0" w:space="0" w:color="auto"/>
          <w:right w:val="none" w:sz="0" w:space="0" w:color="auto"/>
          <w:bar w:val="none" w:sz="0" w:color="auto"/>
        </w:pBdr>
        <w:tabs>
          <w:tab w:val="num" w:pos="1440"/>
        </w:tabs>
        <w:ind w:left="0" w:firstLine="720"/>
        <w:jc w:val="both"/>
        <w:rPr>
          <w:rFonts w:eastAsia="MS Mincho"/>
          <w:b/>
          <w:bCs/>
          <w:sz w:val="20"/>
          <w:szCs w:val="20"/>
        </w:rPr>
      </w:pPr>
      <w:r w:rsidRPr="00F31EB3">
        <w:rPr>
          <w:b/>
          <w:bCs/>
          <w:sz w:val="20"/>
          <w:szCs w:val="20"/>
        </w:rPr>
        <w:t>SUMMARY AND RELEVANT PROCEEDINGS OF THE FRIENDLY SETTLEMENT PROCESS</w:t>
      </w:r>
      <w:r w:rsidRPr="00F31EB3">
        <w:rPr>
          <w:rFonts w:eastAsia="MS Mincho"/>
          <w:b/>
          <w:bCs/>
          <w:sz w:val="20"/>
          <w:szCs w:val="20"/>
        </w:rPr>
        <w:t xml:space="preserve"> </w:t>
      </w:r>
    </w:p>
    <w:p w14:paraId="669DB4E2"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rFonts w:eastAsia="MS Mincho"/>
          <w:b/>
          <w:bCs/>
          <w:sz w:val="20"/>
          <w:szCs w:val="20"/>
        </w:rPr>
      </w:pPr>
    </w:p>
    <w:p w14:paraId="4B313005"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rFonts w:eastAsia="MS Mincho"/>
          <w:b/>
          <w:bCs/>
          <w:sz w:val="20"/>
          <w:szCs w:val="20"/>
        </w:rPr>
      </w:pPr>
    </w:p>
    <w:p w14:paraId="390C1B90" w14:textId="22B4A261"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color w:val="000000"/>
          <w:sz w:val="20"/>
          <w:szCs w:val="20"/>
        </w:rPr>
      </w:pPr>
      <w:r w:rsidRPr="002D4D9D">
        <w:rPr>
          <w:rFonts w:ascii="Cambria" w:hAnsi="Cambria" w:cs="Cambria"/>
          <w:color w:val="000000"/>
          <w:sz w:val="20"/>
          <w:szCs w:val="20"/>
        </w:rPr>
        <w:t xml:space="preserve">On February 3, 2010, the Inter-American Commission on Human Rights (hereinafter, “the Commission” or “the IACHR”) received a petition presented by Yadira Luz Martínez Fuentes, later represented by Narciso Guerra (hereinafter, “the petitioners”), alleging the international responsibility of the Republic of Colombia (hereinafter, “Colombia” or “the State”) for the violation of the human rights enshrined in Articles 4 (life), 5 (humane treatment), and 22 (movement and residence) of the American Convention on Human Rights (hereinafter, “the Convention” or “the American Convention”), in conjunction with Article 1(1) (obligation to respect rights) </w:t>
      </w:r>
      <w:r w:rsidR="007233C7" w:rsidRPr="002D4D9D">
        <w:rPr>
          <w:rFonts w:ascii="Cambria" w:hAnsi="Cambria" w:cs="Cambria"/>
          <w:color w:val="000000"/>
          <w:sz w:val="20"/>
          <w:szCs w:val="20"/>
        </w:rPr>
        <w:t>of the same instrument</w:t>
      </w:r>
      <w:r w:rsidRPr="002D4D9D">
        <w:rPr>
          <w:rFonts w:ascii="Cambria" w:hAnsi="Cambria" w:cs="Cambria"/>
          <w:color w:val="000000"/>
          <w:sz w:val="20"/>
          <w:szCs w:val="20"/>
        </w:rPr>
        <w:t xml:space="preserve">, with respect to Teobaldo Enrique Martínez Fuentes and his family </w:t>
      </w:r>
      <w:r w:rsidR="007233C7" w:rsidRPr="002D4D9D">
        <w:rPr>
          <w:rFonts w:ascii="Cambria" w:hAnsi="Cambria" w:cs="Cambria"/>
          <w:color w:val="000000"/>
          <w:sz w:val="20"/>
          <w:szCs w:val="20"/>
        </w:rPr>
        <w:t xml:space="preserve">derived from </w:t>
      </w:r>
      <w:r w:rsidRPr="002D4D9D">
        <w:rPr>
          <w:rFonts w:ascii="Cambria" w:hAnsi="Cambria" w:cs="Cambria"/>
          <w:color w:val="000000"/>
          <w:sz w:val="20"/>
          <w:szCs w:val="20"/>
        </w:rPr>
        <w:t xml:space="preserve">the </w:t>
      </w:r>
      <w:r w:rsidR="007233C7" w:rsidRPr="002D4D9D">
        <w:rPr>
          <w:rFonts w:ascii="Cambria" w:hAnsi="Cambria" w:cs="Cambria"/>
          <w:color w:val="000000"/>
          <w:sz w:val="20"/>
          <w:szCs w:val="20"/>
        </w:rPr>
        <w:t xml:space="preserve">homicide </w:t>
      </w:r>
      <w:r w:rsidRPr="002D4D9D">
        <w:rPr>
          <w:rFonts w:ascii="Cambria" w:hAnsi="Cambria" w:cs="Cambria"/>
          <w:color w:val="000000"/>
          <w:sz w:val="20"/>
          <w:szCs w:val="20"/>
        </w:rPr>
        <w:t xml:space="preserve">of Mr. Martínez Fuentes by members of the Northern Bloc of the United Self-Defense Forces of Colombia (hereinafter, “the </w:t>
      </w:r>
      <w:r w:rsidR="00F61985">
        <w:rPr>
          <w:rFonts w:ascii="Cambria" w:hAnsi="Cambria" w:cs="Cambria"/>
          <w:color w:val="000000"/>
          <w:sz w:val="20"/>
          <w:szCs w:val="20"/>
        </w:rPr>
        <w:t>ACCU</w:t>
      </w:r>
      <w:r w:rsidRPr="002D4D9D">
        <w:rPr>
          <w:rFonts w:ascii="Cambria" w:hAnsi="Cambria" w:cs="Cambria"/>
          <w:color w:val="000000"/>
          <w:sz w:val="20"/>
          <w:szCs w:val="20"/>
        </w:rPr>
        <w:t xml:space="preserve">”) in the department of La Guajira, as well as through the impunity </w:t>
      </w:r>
      <w:r w:rsidR="007233C7" w:rsidRPr="002D4D9D">
        <w:rPr>
          <w:rFonts w:ascii="Cambria" w:hAnsi="Cambria" w:cs="Cambria"/>
          <w:color w:val="000000"/>
          <w:sz w:val="20"/>
          <w:szCs w:val="20"/>
        </w:rPr>
        <w:t>in which</w:t>
      </w:r>
      <w:r w:rsidRPr="002D4D9D">
        <w:rPr>
          <w:rFonts w:ascii="Cambria" w:hAnsi="Cambria" w:cs="Cambria"/>
          <w:color w:val="000000"/>
          <w:sz w:val="20"/>
          <w:szCs w:val="20"/>
        </w:rPr>
        <w:t xml:space="preserve"> the facts</w:t>
      </w:r>
      <w:r w:rsidR="007233C7" w:rsidRPr="002D4D9D">
        <w:rPr>
          <w:rFonts w:ascii="Cambria" w:hAnsi="Cambria" w:cs="Cambria"/>
          <w:color w:val="000000"/>
          <w:sz w:val="20"/>
          <w:szCs w:val="20"/>
        </w:rPr>
        <w:t xml:space="preserve"> remain</w:t>
      </w:r>
      <w:r w:rsidRPr="002D4D9D">
        <w:rPr>
          <w:rFonts w:ascii="Cambria" w:hAnsi="Cambria" w:cs="Cambria"/>
          <w:color w:val="000000"/>
          <w:sz w:val="20"/>
          <w:szCs w:val="20"/>
        </w:rPr>
        <w:t xml:space="preserve"> and the failure to provide </w:t>
      </w:r>
      <w:r w:rsidR="007233C7" w:rsidRPr="002D4D9D">
        <w:rPr>
          <w:rFonts w:ascii="Cambria" w:hAnsi="Cambria" w:cs="Cambria"/>
          <w:color w:val="000000"/>
          <w:sz w:val="20"/>
          <w:szCs w:val="20"/>
        </w:rPr>
        <w:t xml:space="preserve">integral reparation for </w:t>
      </w:r>
      <w:r w:rsidRPr="002D4D9D">
        <w:rPr>
          <w:rFonts w:ascii="Cambria" w:hAnsi="Cambria" w:cs="Cambria"/>
          <w:color w:val="000000"/>
          <w:sz w:val="20"/>
          <w:szCs w:val="20"/>
        </w:rPr>
        <w:t xml:space="preserve">his next of kin. </w:t>
      </w:r>
    </w:p>
    <w:p w14:paraId="208A44CC" w14:textId="77777777" w:rsidR="00C34FDB" w:rsidRPr="002D4D9D" w:rsidRDefault="00C34FDB" w:rsidP="00F3643E">
      <w:pPr>
        <w:pStyle w:val="paragraph"/>
        <w:spacing w:before="0" w:beforeAutospacing="0" w:after="0" w:afterAutospacing="0"/>
        <w:ind w:left="720"/>
        <w:jc w:val="both"/>
        <w:textAlignment w:val="baseline"/>
        <w:rPr>
          <w:rStyle w:val="normaltextrun"/>
          <w:rFonts w:ascii="Cambria" w:hAnsi="Cambria" w:cs="Cambria"/>
          <w:sz w:val="20"/>
          <w:szCs w:val="20"/>
        </w:rPr>
      </w:pPr>
    </w:p>
    <w:p w14:paraId="737E05A5" w14:textId="77777777"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color w:val="000000"/>
          <w:sz w:val="20"/>
          <w:szCs w:val="20"/>
        </w:rPr>
      </w:pPr>
      <w:r w:rsidRPr="002D4D9D">
        <w:rPr>
          <w:rFonts w:ascii="Cambria" w:hAnsi="Cambria" w:cs="Cambria"/>
          <w:color w:val="000000"/>
          <w:sz w:val="20"/>
          <w:szCs w:val="20"/>
        </w:rPr>
        <w:t xml:space="preserve">On March 29, 2021, the Commission adopted Admissibility Report No. 76/21, in which it ruled the petition admissible and declared that it was competent to hear the petitioners’ claim regarding the alleged violation of the rights enshrined in Articles 4 (life), 5 (humane treatment), 8 (fair trial), and 25 (judicial protection) of the American Convention, in conjunction with the obligation set forth in Article 1(1) thereof (obligation to respect rights), with respect to Teobaldo Enrique Martínez Fuentes and his family. </w:t>
      </w:r>
    </w:p>
    <w:p w14:paraId="44AB8C58" w14:textId="77777777" w:rsidR="00C34FDB" w:rsidRPr="002D4D9D" w:rsidRDefault="00C34FDB" w:rsidP="00F3643E">
      <w:pPr>
        <w:pStyle w:val="paragraph"/>
        <w:spacing w:before="0" w:beforeAutospacing="0" w:after="0" w:afterAutospacing="0"/>
        <w:ind w:left="720"/>
        <w:jc w:val="both"/>
        <w:textAlignment w:val="baseline"/>
        <w:rPr>
          <w:rStyle w:val="normaltextrun"/>
          <w:rFonts w:ascii="Cambria" w:hAnsi="Cambria" w:cs="Cambria"/>
          <w:sz w:val="20"/>
          <w:szCs w:val="20"/>
        </w:rPr>
      </w:pPr>
    </w:p>
    <w:p w14:paraId="0433DA1F" w14:textId="31D2B995"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color w:val="000000"/>
          <w:sz w:val="20"/>
          <w:szCs w:val="20"/>
        </w:rPr>
      </w:pPr>
      <w:r w:rsidRPr="002D4D9D">
        <w:rPr>
          <w:rFonts w:ascii="Cambria" w:hAnsi="Cambria" w:cs="Cambria"/>
          <w:color w:val="000000"/>
          <w:sz w:val="20"/>
          <w:szCs w:val="20"/>
        </w:rPr>
        <w:t xml:space="preserve">On September 24, 2021, the petitioners expressed their interest in initiating </w:t>
      </w:r>
      <w:r w:rsidR="007233C7" w:rsidRPr="002D4D9D">
        <w:rPr>
          <w:rFonts w:ascii="Cambria" w:hAnsi="Cambria" w:cs="Cambria"/>
          <w:color w:val="000000"/>
          <w:sz w:val="20"/>
          <w:szCs w:val="20"/>
        </w:rPr>
        <w:t xml:space="preserve">a </w:t>
      </w:r>
      <w:r w:rsidRPr="002D4D9D">
        <w:rPr>
          <w:rFonts w:ascii="Cambria" w:hAnsi="Cambria" w:cs="Cambria"/>
          <w:color w:val="000000"/>
          <w:sz w:val="20"/>
          <w:szCs w:val="20"/>
        </w:rPr>
        <w:t xml:space="preserve">friendly settlement </w:t>
      </w:r>
      <w:r w:rsidR="007233C7" w:rsidRPr="002D4D9D">
        <w:rPr>
          <w:rFonts w:ascii="Cambria" w:hAnsi="Cambria" w:cs="Cambria"/>
          <w:color w:val="000000"/>
          <w:sz w:val="20"/>
          <w:szCs w:val="20"/>
        </w:rPr>
        <w:t>process</w:t>
      </w:r>
      <w:r w:rsidRPr="002D4D9D">
        <w:rPr>
          <w:rFonts w:ascii="Cambria" w:hAnsi="Cambria" w:cs="Cambria"/>
          <w:color w:val="000000"/>
          <w:sz w:val="20"/>
          <w:szCs w:val="20"/>
        </w:rPr>
        <w:t xml:space="preserve">. The State confirmed its willingness to move forward with negotiations on October 8, 2021, and accordingly, on February 9, 2022, the Commission notified the parties of the formal commencement of the friendly settlement procedure. </w:t>
      </w:r>
    </w:p>
    <w:p w14:paraId="54439C0C" w14:textId="77777777" w:rsidR="00C34FDB" w:rsidRPr="00F31EB3" w:rsidRDefault="00C34FDB" w:rsidP="00F3643E">
      <w:pPr>
        <w:pStyle w:val="paragraph"/>
        <w:spacing w:before="0" w:beforeAutospacing="0" w:after="0" w:afterAutospacing="0"/>
        <w:jc w:val="both"/>
        <w:textAlignment w:val="baseline"/>
        <w:rPr>
          <w:rStyle w:val="normaltextrun"/>
          <w:rFonts w:ascii="Cambria" w:hAnsi="Cambria" w:cs="Cambria"/>
          <w:sz w:val="20"/>
          <w:szCs w:val="20"/>
          <w:highlight w:val="yellow"/>
        </w:rPr>
      </w:pPr>
    </w:p>
    <w:p w14:paraId="40C64875" w14:textId="77777777"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color w:val="000000"/>
          <w:sz w:val="20"/>
          <w:szCs w:val="20"/>
        </w:rPr>
      </w:pPr>
      <w:r w:rsidRPr="002D4D9D">
        <w:rPr>
          <w:rFonts w:ascii="Cambria" w:hAnsi="Cambria" w:cs="Cambria"/>
          <w:color w:val="000000"/>
          <w:sz w:val="20"/>
          <w:szCs w:val="20"/>
        </w:rPr>
        <w:t xml:space="preserve">On May 6, 2022, the parties signed a memorandum of understanding to work toward a friendly settlement in the present case, together with a work schedule for conducting the negotiations. Over the following months, the parties held bilateral meetings to examine the measures of reparation to be included in the friendly settlement agreement (“FSA”), which concluded with its signing in the city of Bogotá on July 26, 2022. Subsequently, on October 31, 2022, the parties submitted a joint report on progress with the implementation of the FSA and requested that the IACHR approve it. </w:t>
      </w:r>
    </w:p>
    <w:p w14:paraId="11D69104" w14:textId="77777777" w:rsidR="00C34FDB" w:rsidRPr="00F31EB3" w:rsidRDefault="00C34FDB" w:rsidP="00F3643E">
      <w:pPr>
        <w:pStyle w:val="paragraph"/>
        <w:spacing w:before="0" w:beforeAutospacing="0" w:after="0" w:afterAutospacing="0"/>
        <w:ind w:left="720"/>
        <w:jc w:val="both"/>
        <w:textAlignment w:val="baseline"/>
        <w:rPr>
          <w:rStyle w:val="normaltextrun"/>
          <w:rFonts w:ascii="Cambria" w:hAnsi="Cambria" w:cs="Cambria"/>
          <w:sz w:val="20"/>
          <w:szCs w:val="20"/>
          <w:highlight w:val="yellow"/>
        </w:rPr>
      </w:pPr>
    </w:p>
    <w:p w14:paraId="6F85F821" w14:textId="77777777"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color w:val="000000"/>
          <w:sz w:val="20"/>
          <w:szCs w:val="20"/>
        </w:rPr>
      </w:pPr>
      <w:r w:rsidRPr="002D4D9D">
        <w:rPr>
          <w:rFonts w:ascii="Cambria" w:hAnsi="Cambria" w:cs="Cambria"/>
          <w:color w:val="000000"/>
          <w:sz w:val="20"/>
          <w:szCs w:val="20"/>
        </w:rPr>
        <w:t>In keeping with Article 49 of the Convention and Article 40(5) of the Commission’s Rules of Procedure, this friendly settlement report contains a summary of the facts alleged by the petitioners and a transcription of the friendly settlement agreement signed by the petitioners and the Colombian State’s representatives on July 26, 2022. It also approves the agreement signed by the parties and undertakes to publish this report in its Annual Report to the General Assembly of the Organization of American States.</w:t>
      </w:r>
    </w:p>
    <w:p w14:paraId="018CF43E" w14:textId="77777777" w:rsidR="00C34FDB" w:rsidRPr="00F31EB3" w:rsidRDefault="00C34FDB" w:rsidP="00004B67">
      <w:pPr>
        <w:pStyle w:val="paragraph"/>
        <w:spacing w:before="0" w:beforeAutospacing="0" w:after="0" w:afterAutospacing="0"/>
        <w:jc w:val="both"/>
        <w:textAlignment w:val="baseline"/>
        <w:rPr>
          <w:rFonts w:ascii="Cambria" w:hAnsi="Cambria" w:cs="Cambria"/>
          <w:color w:val="000000"/>
          <w:sz w:val="20"/>
          <w:szCs w:val="20"/>
          <w:highlight w:val="yellow"/>
        </w:rPr>
      </w:pPr>
    </w:p>
    <w:p w14:paraId="17829185" w14:textId="77777777" w:rsidR="00C34FDB" w:rsidRPr="00F31EB3" w:rsidRDefault="00C34FDB" w:rsidP="004E1315">
      <w:pPr>
        <w:pStyle w:val="List"/>
        <w:numPr>
          <w:ilvl w:val="0"/>
          <w:numId w:val="51"/>
        </w:numPr>
        <w:pBdr>
          <w:top w:val="none" w:sz="0" w:space="0" w:color="auto"/>
          <w:left w:val="none" w:sz="0" w:space="0" w:color="auto"/>
          <w:bottom w:val="none" w:sz="0" w:space="0" w:color="auto"/>
          <w:right w:val="none" w:sz="0" w:space="0" w:color="auto"/>
          <w:bar w:val="none" w:sz="0" w:color="auto"/>
        </w:pBdr>
        <w:tabs>
          <w:tab w:val="num" w:pos="1440"/>
        </w:tabs>
        <w:ind w:left="0" w:firstLine="720"/>
        <w:jc w:val="both"/>
        <w:rPr>
          <w:rFonts w:eastAsia="MS Mincho"/>
          <w:b/>
          <w:bCs/>
          <w:sz w:val="20"/>
          <w:szCs w:val="20"/>
          <w:lang w:eastAsia="es-BO"/>
        </w:rPr>
      </w:pPr>
      <w:r w:rsidRPr="00F31EB3">
        <w:rPr>
          <w:b/>
          <w:bCs/>
          <w:sz w:val="20"/>
          <w:szCs w:val="20"/>
          <w:lang w:eastAsia="es-BO"/>
        </w:rPr>
        <w:t>THE FACTS ALLEGED</w:t>
      </w:r>
      <w:r w:rsidRPr="00F31EB3">
        <w:rPr>
          <w:rFonts w:eastAsia="MS Mincho"/>
          <w:b/>
          <w:bCs/>
          <w:sz w:val="20"/>
          <w:szCs w:val="20"/>
          <w:lang w:eastAsia="es-BO"/>
        </w:rPr>
        <w:t xml:space="preserve"> </w:t>
      </w:r>
    </w:p>
    <w:p w14:paraId="07154821"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rFonts w:eastAsia="MS Mincho"/>
          <w:b/>
          <w:bCs/>
          <w:sz w:val="20"/>
          <w:szCs w:val="20"/>
          <w:lang w:eastAsia="es-BO"/>
        </w:rPr>
      </w:pPr>
    </w:p>
    <w:p w14:paraId="567CCA6E" w14:textId="0D9191D5" w:rsidR="00C34FDB" w:rsidRPr="002D4D9D"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2D4D9D">
        <w:rPr>
          <w:rFonts w:ascii="Cambria" w:hAnsi="Cambria" w:cs="Cambria"/>
          <w:sz w:val="20"/>
          <w:szCs w:val="20"/>
        </w:rPr>
        <w:t>The petitioner</w:t>
      </w:r>
      <w:r w:rsidR="002D4D9D" w:rsidRPr="002D4D9D">
        <w:rPr>
          <w:rFonts w:ascii="Cambria" w:hAnsi="Cambria" w:cs="Cambria"/>
          <w:sz w:val="20"/>
          <w:szCs w:val="20"/>
        </w:rPr>
        <w:t xml:space="preserve">s </w:t>
      </w:r>
      <w:r w:rsidRPr="002D4D9D">
        <w:rPr>
          <w:rFonts w:ascii="Cambria" w:hAnsi="Cambria" w:cs="Cambria"/>
          <w:sz w:val="20"/>
          <w:szCs w:val="20"/>
        </w:rPr>
        <w:t xml:space="preserve">alleged that the State violated the alleged victim’s rights by </w:t>
      </w:r>
      <w:r w:rsidR="00CE39D4" w:rsidRPr="002D4D9D">
        <w:rPr>
          <w:rFonts w:ascii="Cambria" w:hAnsi="Cambria" w:cs="Cambria"/>
          <w:sz w:val="20"/>
          <w:szCs w:val="20"/>
        </w:rPr>
        <w:t xml:space="preserve">enabling members of the Northern Bloc of the United Self-Defense Forces of Colombia </w:t>
      </w:r>
      <w:r w:rsidR="00F61985">
        <w:rPr>
          <w:rFonts w:ascii="Cambria" w:hAnsi="Cambria" w:cs="Cambria"/>
          <w:sz w:val="20"/>
          <w:szCs w:val="20"/>
        </w:rPr>
        <w:t>(hereinafter “ACCU”)</w:t>
      </w:r>
      <w:r w:rsidR="00CE39D4" w:rsidRPr="002D4D9D">
        <w:rPr>
          <w:rFonts w:ascii="Cambria" w:hAnsi="Cambria" w:cs="Cambria"/>
          <w:sz w:val="20"/>
          <w:szCs w:val="20"/>
        </w:rPr>
        <w:t>, which was operating in the department of La Guajira, to kill him</w:t>
      </w:r>
      <w:r w:rsidRPr="002D4D9D">
        <w:rPr>
          <w:rFonts w:ascii="Cambria" w:hAnsi="Cambria" w:cs="Cambria"/>
          <w:sz w:val="20"/>
          <w:szCs w:val="20"/>
        </w:rPr>
        <w:t xml:space="preserve">. </w:t>
      </w:r>
      <w:r w:rsidR="00CE39D4" w:rsidRPr="002D4D9D">
        <w:rPr>
          <w:rFonts w:ascii="Cambria" w:hAnsi="Cambria" w:cs="Cambria"/>
          <w:sz w:val="20"/>
          <w:szCs w:val="20"/>
        </w:rPr>
        <w:t xml:space="preserve">They </w:t>
      </w:r>
      <w:r w:rsidRPr="002D4D9D">
        <w:rPr>
          <w:rFonts w:ascii="Cambria" w:hAnsi="Cambria" w:cs="Cambria"/>
          <w:sz w:val="20"/>
          <w:szCs w:val="20"/>
        </w:rPr>
        <w:t>added that the incident remains unpunished to date and that the next of kin have not received comprehensive redress.</w:t>
      </w:r>
    </w:p>
    <w:p w14:paraId="0C6EB525" w14:textId="77777777" w:rsidR="00C34FDB" w:rsidRPr="00F31EB3" w:rsidRDefault="00C34FDB" w:rsidP="00F3643E">
      <w:pPr>
        <w:pStyle w:val="paragraph"/>
        <w:spacing w:before="0" w:beforeAutospacing="0" w:after="0" w:afterAutospacing="0"/>
        <w:ind w:firstLine="720"/>
        <w:jc w:val="both"/>
        <w:textAlignment w:val="baseline"/>
        <w:rPr>
          <w:rFonts w:ascii="Cambria" w:hAnsi="Cambria" w:cs="Cambria"/>
          <w:sz w:val="20"/>
          <w:szCs w:val="20"/>
          <w:highlight w:val="yellow"/>
        </w:rPr>
      </w:pPr>
    </w:p>
    <w:p w14:paraId="0E27F9B4" w14:textId="4C7FB23D" w:rsidR="00C34FDB" w:rsidRPr="00F61985" w:rsidRDefault="00CE39D4"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F61985">
        <w:rPr>
          <w:rFonts w:ascii="Cambria" w:hAnsi="Cambria" w:cs="Cambria"/>
          <w:sz w:val="20"/>
          <w:szCs w:val="20"/>
        </w:rPr>
        <w:lastRenderedPageBreak/>
        <w:t>They</w:t>
      </w:r>
      <w:r w:rsidR="00C34FDB" w:rsidRPr="00F61985">
        <w:rPr>
          <w:rFonts w:ascii="Cambria" w:hAnsi="Cambria" w:cs="Cambria"/>
          <w:sz w:val="20"/>
          <w:szCs w:val="20"/>
        </w:rPr>
        <w:t xml:space="preserve"> reported that on March 14, 1998, a group of unidentified men, presumably members of the </w:t>
      </w:r>
      <w:r w:rsidR="00F61985">
        <w:rPr>
          <w:rFonts w:ascii="Cambria" w:hAnsi="Cambria" w:cs="Cambria"/>
          <w:sz w:val="20"/>
          <w:szCs w:val="20"/>
        </w:rPr>
        <w:t>ACCU</w:t>
      </w:r>
      <w:r w:rsidR="00C34FDB" w:rsidRPr="00F61985">
        <w:rPr>
          <w:rFonts w:ascii="Cambria" w:hAnsi="Cambria" w:cs="Cambria"/>
          <w:sz w:val="20"/>
          <w:szCs w:val="20"/>
        </w:rPr>
        <w:t xml:space="preserve">, shot and killed Mr. Martínez Fuentes on the outskirts of the village of El Plan in the municipality of La Jagua del Pilar, La Guajira department. </w:t>
      </w:r>
      <w:r w:rsidRPr="00F61985">
        <w:rPr>
          <w:rFonts w:ascii="Cambria" w:hAnsi="Cambria" w:cs="Cambria"/>
          <w:sz w:val="20"/>
          <w:szCs w:val="20"/>
        </w:rPr>
        <w:t>They indicated</w:t>
      </w:r>
      <w:r w:rsidR="00C34FDB" w:rsidRPr="00F61985">
        <w:rPr>
          <w:rFonts w:ascii="Cambria" w:hAnsi="Cambria" w:cs="Cambria"/>
          <w:sz w:val="20"/>
          <w:szCs w:val="20"/>
        </w:rPr>
        <w:t xml:space="preserve"> that the presence of illegal armed groups made this </w:t>
      </w:r>
      <w:r w:rsidRPr="00F61985">
        <w:rPr>
          <w:rFonts w:ascii="Cambria" w:hAnsi="Cambria" w:cs="Cambria"/>
          <w:sz w:val="20"/>
          <w:szCs w:val="20"/>
        </w:rPr>
        <w:t>area an epicenter</w:t>
      </w:r>
      <w:r w:rsidR="00C34FDB" w:rsidRPr="00F61985">
        <w:rPr>
          <w:rFonts w:ascii="Cambria" w:hAnsi="Cambria" w:cs="Cambria"/>
          <w:sz w:val="20"/>
          <w:szCs w:val="20"/>
        </w:rPr>
        <w:t xml:space="preserve"> </w:t>
      </w:r>
      <w:r w:rsidRPr="00F61985">
        <w:rPr>
          <w:rFonts w:ascii="Cambria" w:hAnsi="Cambria" w:cs="Cambria"/>
          <w:sz w:val="20"/>
          <w:szCs w:val="20"/>
        </w:rPr>
        <w:t>of</w:t>
      </w:r>
      <w:r w:rsidR="00C34FDB" w:rsidRPr="00F61985">
        <w:rPr>
          <w:rFonts w:ascii="Cambria" w:hAnsi="Cambria" w:cs="Cambria"/>
          <w:sz w:val="20"/>
          <w:szCs w:val="20"/>
        </w:rPr>
        <w:t xml:space="preserve"> violence. On March 15, 1998, the police conducted a judicial inspection and determined that Mr. Martínez Fuentes died as a result of a gunshot wound. Likewise, the municipal ombudsman certified that the murder was triggered by ideological and political motives within the framework of the armed conflict. In spite of this, the petitioner alleged that no legal proceedings were initiated because of the fear caused by the prevailing disorder and insecurity in the area due to the presence of illegal armed groups. </w:t>
      </w:r>
    </w:p>
    <w:p w14:paraId="2EA316C7" w14:textId="77777777" w:rsidR="00C34FDB" w:rsidRPr="00F61985"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41ADA676" w14:textId="1B07FADF" w:rsidR="00C34FDB" w:rsidRPr="00F61985"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F61985">
        <w:rPr>
          <w:rFonts w:ascii="Cambria" w:hAnsi="Cambria" w:cs="Cambria"/>
          <w:sz w:val="20"/>
          <w:szCs w:val="20"/>
        </w:rPr>
        <w:t xml:space="preserve">The petitioner stated that on March 27, 2009, </w:t>
      </w:r>
      <w:r w:rsidR="00CE39D4" w:rsidRPr="00F61985">
        <w:rPr>
          <w:rFonts w:ascii="Cambria" w:hAnsi="Cambria" w:cs="Cambria"/>
          <w:sz w:val="20"/>
          <w:szCs w:val="20"/>
        </w:rPr>
        <w:t xml:space="preserve">they </w:t>
      </w:r>
      <w:r w:rsidRPr="00F61985">
        <w:rPr>
          <w:rFonts w:ascii="Cambria" w:hAnsi="Cambria" w:cs="Cambria"/>
          <w:sz w:val="20"/>
          <w:szCs w:val="20"/>
        </w:rPr>
        <w:t xml:space="preserve">reported the incident to the Registry of Acts Attributable to Illegal Organized Groups in La Jagua del Pilar municipality. On April 1, 2009, </w:t>
      </w:r>
      <w:r w:rsidR="00CE39D4" w:rsidRPr="00F61985">
        <w:rPr>
          <w:rFonts w:ascii="Cambria" w:hAnsi="Cambria" w:cs="Cambria"/>
          <w:sz w:val="20"/>
          <w:szCs w:val="20"/>
        </w:rPr>
        <w:t>they requested by means of an official letter</w:t>
      </w:r>
      <w:r w:rsidRPr="00F61985">
        <w:rPr>
          <w:rFonts w:ascii="Cambria" w:hAnsi="Cambria" w:cs="Cambria"/>
          <w:sz w:val="20"/>
          <w:szCs w:val="20"/>
        </w:rPr>
        <w:t xml:space="preserve"> to the Office of the Attorney Delegate of the Criminal Prosecution Service</w:t>
      </w:r>
      <w:r w:rsidR="00CE39D4" w:rsidRPr="00F61985">
        <w:rPr>
          <w:rFonts w:ascii="Cambria" w:hAnsi="Cambria" w:cs="Cambria"/>
          <w:sz w:val="20"/>
          <w:szCs w:val="20"/>
        </w:rPr>
        <w:t>,</w:t>
      </w:r>
      <w:r w:rsidRPr="00F61985">
        <w:rPr>
          <w:rFonts w:ascii="Cambria" w:hAnsi="Cambria" w:cs="Cambria"/>
          <w:sz w:val="20"/>
          <w:szCs w:val="20"/>
        </w:rPr>
        <w:t xml:space="preserve"> </w:t>
      </w:r>
      <w:r w:rsidR="00CE39D4" w:rsidRPr="00F61985">
        <w:rPr>
          <w:rFonts w:ascii="Cambria" w:hAnsi="Cambria" w:cs="Cambria"/>
          <w:sz w:val="20"/>
          <w:szCs w:val="20"/>
        </w:rPr>
        <w:t>to be comprehensively repaired</w:t>
      </w:r>
      <w:r w:rsidRPr="00F61985">
        <w:rPr>
          <w:rFonts w:ascii="Cambria" w:hAnsi="Cambria" w:cs="Cambria"/>
          <w:sz w:val="20"/>
          <w:szCs w:val="20"/>
        </w:rPr>
        <w:t xml:space="preserve"> as a member of Mr. Martínez Fuentes’s family. </w:t>
      </w:r>
      <w:r w:rsidR="00CE39D4" w:rsidRPr="00F61985">
        <w:rPr>
          <w:rFonts w:ascii="Cambria" w:hAnsi="Cambria" w:cs="Cambria"/>
          <w:sz w:val="20"/>
          <w:szCs w:val="20"/>
        </w:rPr>
        <w:t xml:space="preserve">They </w:t>
      </w:r>
      <w:r w:rsidRPr="00F61985">
        <w:rPr>
          <w:rFonts w:ascii="Cambria" w:hAnsi="Cambria" w:cs="Cambria"/>
          <w:sz w:val="20"/>
          <w:szCs w:val="20"/>
        </w:rPr>
        <w:t xml:space="preserve">further stated that on March 27, 2009, </w:t>
      </w:r>
      <w:r w:rsidR="00CE39D4" w:rsidRPr="00F61985">
        <w:rPr>
          <w:rFonts w:ascii="Cambria" w:hAnsi="Cambria" w:cs="Cambria"/>
          <w:sz w:val="20"/>
          <w:szCs w:val="20"/>
        </w:rPr>
        <w:t xml:space="preserve">they presented an official letter </w:t>
      </w:r>
      <w:r w:rsidRPr="00F61985">
        <w:rPr>
          <w:rFonts w:ascii="Cambria" w:hAnsi="Cambria" w:cs="Cambria"/>
          <w:sz w:val="20"/>
          <w:szCs w:val="20"/>
        </w:rPr>
        <w:t xml:space="preserve">to the Attorney General of the Nation requesting: (i) that a criminal investigation be conducted into the alleged victim’s murder under the terms of the Justice and Peace Law of July 25, 2005 (Law No. 975), (ii) that </w:t>
      </w:r>
      <w:r w:rsidR="00A4450F" w:rsidRPr="00F61985">
        <w:rPr>
          <w:rFonts w:ascii="Cambria" w:hAnsi="Cambria" w:cs="Cambria"/>
          <w:sz w:val="20"/>
          <w:szCs w:val="20"/>
        </w:rPr>
        <w:t xml:space="preserve">they </w:t>
      </w:r>
      <w:r w:rsidRPr="00F61985">
        <w:rPr>
          <w:rFonts w:ascii="Cambria" w:hAnsi="Cambria" w:cs="Cambria"/>
          <w:sz w:val="20"/>
          <w:szCs w:val="20"/>
        </w:rPr>
        <w:t xml:space="preserve">be recognized as a victim, and (iii) that comprehensive redress be extended to the family. </w:t>
      </w:r>
    </w:p>
    <w:p w14:paraId="3DD7D25C" w14:textId="77777777" w:rsidR="00C34FDB" w:rsidRPr="00F31EB3" w:rsidRDefault="00C34FDB" w:rsidP="00F3643E">
      <w:pPr>
        <w:pStyle w:val="paragraph"/>
        <w:spacing w:before="0" w:beforeAutospacing="0" w:after="0" w:afterAutospacing="0"/>
        <w:ind w:firstLine="720"/>
        <w:jc w:val="both"/>
        <w:textAlignment w:val="baseline"/>
        <w:rPr>
          <w:rFonts w:ascii="Cambria" w:hAnsi="Cambria" w:cs="Cambria"/>
          <w:sz w:val="20"/>
          <w:szCs w:val="20"/>
          <w:highlight w:val="yellow"/>
        </w:rPr>
      </w:pPr>
    </w:p>
    <w:p w14:paraId="1BADF6EE" w14:textId="40B3CFC4" w:rsidR="00C34FDB" w:rsidRPr="00F61985" w:rsidRDefault="00A4450F"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F61985">
        <w:rPr>
          <w:rFonts w:ascii="Cambria" w:hAnsi="Cambria" w:cs="Cambria"/>
          <w:sz w:val="20"/>
          <w:szCs w:val="20"/>
        </w:rPr>
        <w:t>They indicated</w:t>
      </w:r>
      <w:r w:rsidR="00C34FDB" w:rsidRPr="00F61985">
        <w:rPr>
          <w:rFonts w:ascii="Cambria" w:hAnsi="Cambria" w:cs="Cambria"/>
          <w:sz w:val="20"/>
          <w:szCs w:val="20"/>
        </w:rPr>
        <w:t xml:space="preserve"> that on July 31, 2009, </w:t>
      </w:r>
      <w:r w:rsidRPr="00F61985">
        <w:rPr>
          <w:rFonts w:ascii="Cambria" w:hAnsi="Cambria" w:cs="Cambria"/>
          <w:sz w:val="20"/>
          <w:szCs w:val="20"/>
        </w:rPr>
        <w:t>they</w:t>
      </w:r>
      <w:r w:rsidR="00C34FDB" w:rsidRPr="00F61985">
        <w:rPr>
          <w:rFonts w:ascii="Cambria" w:hAnsi="Cambria" w:cs="Cambria"/>
          <w:sz w:val="20"/>
          <w:szCs w:val="20"/>
        </w:rPr>
        <w:t xml:space="preserve"> </w:t>
      </w:r>
      <w:r w:rsidRPr="00F61985">
        <w:rPr>
          <w:rFonts w:ascii="Cambria" w:hAnsi="Cambria" w:cs="Cambria"/>
          <w:sz w:val="20"/>
          <w:szCs w:val="20"/>
        </w:rPr>
        <w:t>presented an official letter</w:t>
      </w:r>
      <w:r w:rsidR="00C34FDB" w:rsidRPr="00F61985">
        <w:rPr>
          <w:rFonts w:ascii="Cambria" w:hAnsi="Cambria" w:cs="Cambria"/>
          <w:sz w:val="20"/>
          <w:szCs w:val="20"/>
        </w:rPr>
        <w:t xml:space="preserve"> to the Chief of the National Unit of Justice and Peace Prosecutors and to the Coordinator of Victims’ Groups in the city of Bogotá, requesting that the case file be included in the database of the National Unit of Justice and Peace Prosecutors and that the case be assigned a number in order to allow its processing. Subsequently, the petitioner stated, the Attorney General’s Office, through an official letter dated December 18, 2009, informed </w:t>
      </w:r>
      <w:r w:rsidRPr="00F61985">
        <w:rPr>
          <w:rFonts w:ascii="Cambria" w:hAnsi="Cambria" w:cs="Cambria"/>
          <w:sz w:val="20"/>
          <w:szCs w:val="20"/>
        </w:rPr>
        <w:t>them</w:t>
      </w:r>
      <w:r w:rsidR="00C34FDB" w:rsidRPr="00F61985">
        <w:rPr>
          <w:rFonts w:ascii="Cambria" w:hAnsi="Cambria" w:cs="Cambria"/>
          <w:sz w:val="20"/>
          <w:szCs w:val="20"/>
        </w:rPr>
        <w:t xml:space="preserve"> that the Justice and Peace Unit – Victims’ Group had entered the file into the Justice and Peace Information System with the registration No. 265009, </w:t>
      </w:r>
      <w:r w:rsidR="00F61985">
        <w:rPr>
          <w:rFonts w:ascii="Cambria" w:hAnsi="Cambria" w:cs="Cambria"/>
          <w:sz w:val="20"/>
          <w:szCs w:val="20"/>
        </w:rPr>
        <w:t>ACCU</w:t>
      </w:r>
      <w:r w:rsidR="00C34FDB" w:rsidRPr="00F61985">
        <w:rPr>
          <w:rFonts w:ascii="Cambria" w:hAnsi="Cambria" w:cs="Cambria"/>
          <w:sz w:val="20"/>
          <w:szCs w:val="20"/>
        </w:rPr>
        <w:t xml:space="preserve"> North Bloc, Third Prosecutor’s Office. However, </w:t>
      </w:r>
      <w:r w:rsidRPr="00F61985">
        <w:rPr>
          <w:rFonts w:ascii="Cambria" w:hAnsi="Cambria" w:cs="Cambria"/>
          <w:sz w:val="20"/>
          <w:szCs w:val="20"/>
        </w:rPr>
        <w:t>they</w:t>
      </w:r>
      <w:r w:rsidR="00C34FDB" w:rsidRPr="00F61985">
        <w:rPr>
          <w:rFonts w:ascii="Cambria" w:hAnsi="Cambria" w:cs="Cambria"/>
          <w:sz w:val="20"/>
          <w:szCs w:val="20"/>
        </w:rPr>
        <w:t xml:space="preserve"> contended that no progress was made with the investigation, as a result of which the crime remained unpunished for a number of years and no light was ever cast on the facts. </w:t>
      </w:r>
    </w:p>
    <w:p w14:paraId="7BE6C453" w14:textId="77777777" w:rsidR="00C34FDB" w:rsidRPr="00F31EB3" w:rsidRDefault="00C34FDB" w:rsidP="00F3643E">
      <w:pPr>
        <w:pStyle w:val="paragraph"/>
        <w:spacing w:before="0" w:beforeAutospacing="0" w:after="0" w:afterAutospacing="0"/>
        <w:ind w:firstLine="720"/>
        <w:jc w:val="both"/>
        <w:textAlignment w:val="baseline"/>
        <w:rPr>
          <w:rFonts w:ascii="Cambria" w:hAnsi="Cambria" w:cs="Cambria"/>
          <w:sz w:val="20"/>
          <w:szCs w:val="20"/>
          <w:highlight w:val="yellow"/>
        </w:rPr>
      </w:pPr>
    </w:p>
    <w:p w14:paraId="5F06A960" w14:textId="1508665B" w:rsidR="00C34FDB" w:rsidRPr="00F61985"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F61985">
        <w:rPr>
          <w:rFonts w:ascii="Cambria" w:hAnsi="Cambria" w:cs="Cambria"/>
          <w:sz w:val="20"/>
          <w:szCs w:val="20"/>
        </w:rPr>
        <w:t xml:space="preserve">Accordingly, </w:t>
      </w:r>
      <w:r w:rsidR="00A4450F" w:rsidRPr="00F61985">
        <w:rPr>
          <w:rFonts w:ascii="Cambria" w:hAnsi="Cambria" w:cs="Cambria"/>
          <w:sz w:val="20"/>
          <w:szCs w:val="20"/>
        </w:rPr>
        <w:t>they</w:t>
      </w:r>
      <w:r w:rsidRPr="00F61985">
        <w:rPr>
          <w:rFonts w:ascii="Cambria" w:hAnsi="Cambria" w:cs="Cambria"/>
          <w:sz w:val="20"/>
          <w:szCs w:val="20"/>
        </w:rPr>
        <w:t xml:space="preserve"> argued that the criminal investigation carried out by the Local Unit of San Juan del Cesar, department of La Guajira, was ineffective in identifying, prosecuting, and punishing those responsible. </w:t>
      </w:r>
      <w:r w:rsidR="00A4450F" w:rsidRPr="00F61985">
        <w:rPr>
          <w:rFonts w:ascii="Cambria" w:hAnsi="Cambria" w:cs="Cambria"/>
          <w:sz w:val="20"/>
          <w:szCs w:val="20"/>
        </w:rPr>
        <w:t>They</w:t>
      </w:r>
      <w:r w:rsidRPr="00F61985">
        <w:rPr>
          <w:rFonts w:ascii="Cambria" w:hAnsi="Cambria" w:cs="Cambria"/>
          <w:sz w:val="20"/>
          <w:szCs w:val="20"/>
        </w:rPr>
        <w:t xml:space="preserve"> contended that although the alleged victim was not subject to special protection from the State, by virtue of Article 2 of the Constitution of Colombia the State was under the obligation to protect his life, honor, and property.</w:t>
      </w:r>
    </w:p>
    <w:p w14:paraId="1D9CA038" w14:textId="77777777" w:rsidR="00C34FDB" w:rsidRPr="00F61985"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1CBB3DBE" w14:textId="31FD7420" w:rsidR="00C34FDB" w:rsidRPr="00F61985"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F61985">
        <w:rPr>
          <w:rFonts w:ascii="Cambria" w:hAnsi="Cambria" w:cs="Cambria"/>
          <w:sz w:val="20"/>
          <w:szCs w:val="20"/>
        </w:rPr>
        <w:t xml:space="preserve">Finally, </w:t>
      </w:r>
      <w:r w:rsidR="00A4450F" w:rsidRPr="00F61985">
        <w:rPr>
          <w:rFonts w:ascii="Cambria" w:hAnsi="Cambria" w:cs="Cambria"/>
          <w:sz w:val="20"/>
          <w:szCs w:val="20"/>
        </w:rPr>
        <w:t>they</w:t>
      </w:r>
      <w:r w:rsidRPr="00F61985">
        <w:rPr>
          <w:rFonts w:ascii="Cambria" w:hAnsi="Cambria" w:cs="Cambria"/>
          <w:sz w:val="20"/>
          <w:szCs w:val="20"/>
        </w:rPr>
        <w:t xml:space="preserve"> emphasized that the crime was committed with the acquiescence and tolerance of agents of the State. </w:t>
      </w:r>
      <w:r w:rsidR="00A4450F" w:rsidRPr="00F61985">
        <w:rPr>
          <w:rFonts w:ascii="Cambria" w:hAnsi="Cambria" w:cs="Cambria"/>
          <w:sz w:val="20"/>
          <w:szCs w:val="20"/>
        </w:rPr>
        <w:t>They</w:t>
      </w:r>
      <w:r w:rsidRPr="00F61985">
        <w:rPr>
          <w:rFonts w:ascii="Cambria" w:hAnsi="Cambria" w:cs="Cambria"/>
          <w:sz w:val="20"/>
          <w:szCs w:val="20"/>
        </w:rPr>
        <w:t xml:space="preserve"> </w:t>
      </w:r>
      <w:r w:rsidR="00A4450F" w:rsidRPr="00F61985">
        <w:rPr>
          <w:rFonts w:ascii="Cambria" w:hAnsi="Cambria" w:cs="Cambria"/>
          <w:sz w:val="20"/>
          <w:szCs w:val="20"/>
        </w:rPr>
        <w:t xml:space="preserve">stressed </w:t>
      </w:r>
      <w:r w:rsidRPr="00F61985">
        <w:rPr>
          <w:rFonts w:ascii="Cambria" w:hAnsi="Cambria" w:cs="Cambria"/>
          <w:sz w:val="20"/>
          <w:szCs w:val="20"/>
        </w:rPr>
        <w:t>that illegal armed groups traveled throughout the municipality of La Jagua del Pilar, displaying weapons of war and terrorizing its inhabitants, who were summoned to the main square for lengthy periods of time. She claimed that the authorities of La Guajira department, such as the Central Intelligence Office, were aware of this situation and yet took no action to prevent the crimes.</w:t>
      </w:r>
    </w:p>
    <w:p w14:paraId="563C5ABE" w14:textId="77777777" w:rsidR="00C34FDB" w:rsidRPr="00F61985" w:rsidRDefault="00C34FDB" w:rsidP="00004B67">
      <w:pPr>
        <w:pStyle w:val="paragraph"/>
        <w:spacing w:before="0" w:beforeAutospacing="0" w:after="0" w:afterAutospacing="0"/>
        <w:jc w:val="both"/>
        <w:textAlignment w:val="baseline"/>
        <w:rPr>
          <w:rFonts w:ascii="Cambria" w:hAnsi="Cambria" w:cs="Cambria"/>
          <w:sz w:val="20"/>
          <w:szCs w:val="20"/>
        </w:rPr>
      </w:pPr>
    </w:p>
    <w:p w14:paraId="6472181E" w14:textId="77777777" w:rsidR="00C34FDB" w:rsidRPr="00F31EB3" w:rsidRDefault="00C34FDB" w:rsidP="004E1315">
      <w:pPr>
        <w:numPr>
          <w:ilvl w:val="0"/>
          <w:numId w:val="51"/>
        </w:numPr>
        <w:pBdr>
          <w:top w:val="none" w:sz="0" w:space="0" w:color="auto"/>
          <w:left w:val="none" w:sz="0" w:space="0" w:color="auto"/>
          <w:bottom w:val="none" w:sz="0" w:space="0" w:color="auto"/>
          <w:right w:val="none" w:sz="0" w:space="0" w:color="auto"/>
          <w:bar w:val="none" w:sz="0" w:color="auto"/>
        </w:pBdr>
        <w:tabs>
          <w:tab w:val="num" w:pos="1440"/>
        </w:tabs>
        <w:ind w:left="0" w:firstLine="720"/>
        <w:jc w:val="both"/>
        <w:rPr>
          <w:rFonts w:ascii="Cambria" w:eastAsia="MS Mincho" w:hAnsi="Cambria"/>
          <w:b/>
          <w:bCs/>
          <w:color w:val="000000"/>
          <w:sz w:val="20"/>
          <w:szCs w:val="20"/>
        </w:rPr>
      </w:pPr>
      <w:r w:rsidRPr="00F31EB3">
        <w:rPr>
          <w:rFonts w:ascii="Cambria" w:eastAsia="MS Mincho" w:hAnsi="Cambria" w:cs="Cambria"/>
          <w:b/>
          <w:bCs/>
          <w:color w:val="000000"/>
          <w:sz w:val="20"/>
          <w:szCs w:val="20"/>
        </w:rPr>
        <w:t>FRIENDLY SETTLEMENT</w:t>
      </w:r>
    </w:p>
    <w:p w14:paraId="081422B9" w14:textId="77777777" w:rsidR="00C34FDB" w:rsidRPr="00F31EB3" w:rsidRDefault="00C34FDB" w:rsidP="00004B67">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b/>
          <w:bCs/>
          <w:color w:val="000000"/>
          <w:sz w:val="20"/>
          <w:szCs w:val="20"/>
        </w:rPr>
      </w:pPr>
    </w:p>
    <w:p w14:paraId="0784D54C" w14:textId="77777777" w:rsidR="00C34FDB" w:rsidRPr="005C3E73"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5C3E73">
        <w:rPr>
          <w:rFonts w:ascii="Cambria" w:hAnsi="Cambria" w:cs="Cambria"/>
          <w:sz w:val="20"/>
          <w:szCs w:val="20"/>
        </w:rPr>
        <w:t xml:space="preserve">On July 26, 2022, the parties signed a friendly settlement agreement that provides as follows: </w:t>
      </w:r>
    </w:p>
    <w:p w14:paraId="0DF78008" w14:textId="77777777" w:rsidR="00C34FDB" w:rsidRPr="005C3E73" w:rsidRDefault="00C34FDB" w:rsidP="00F3643E">
      <w:pPr>
        <w:pStyle w:val="paragraph"/>
        <w:spacing w:before="0" w:beforeAutospacing="0" w:after="0" w:afterAutospacing="0"/>
        <w:jc w:val="both"/>
        <w:textAlignment w:val="baseline"/>
        <w:rPr>
          <w:rFonts w:ascii="Cambria" w:hAnsi="Cambria" w:cs="Cambria"/>
          <w:sz w:val="20"/>
          <w:szCs w:val="20"/>
        </w:rPr>
      </w:pPr>
    </w:p>
    <w:p w14:paraId="6AF767F4" w14:textId="77777777" w:rsidR="00C34FDB" w:rsidRPr="005C3E73" w:rsidRDefault="00C34FDB" w:rsidP="00F3643E">
      <w:pPr>
        <w:pStyle w:val="paragraph"/>
        <w:spacing w:before="0" w:beforeAutospacing="0" w:after="0" w:afterAutospacing="0"/>
        <w:ind w:left="720" w:right="720"/>
        <w:jc w:val="center"/>
        <w:rPr>
          <w:rFonts w:ascii="Cambria" w:hAnsi="Cambria" w:cs="Cambria"/>
          <w:b/>
          <w:bCs/>
          <w:sz w:val="20"/>
          <w:szCs w:val="20"/>
        </w:rPr>
      </w:pPr>
      <w:r w:rsidRPr="005C3E73">
        <w:rPr>
          <w:rFonts w:ascii="Cambria" w:hAnsi="Cambria" w:cs="Cambria"/>
          <w:b/>
          <w:bCs/>
          <w:sz w:val="20"/>
          <w:szCs w:val="20"/>
        </w:rPr>
        <w:t xml:space="preserve">FRIENDLY SETTLEMENT AGREEMENT </w:t>
      </w:r>
    </w:p>
    <w:p w14:paraId="305BEC8F" w14:textId="77777777" w:rsidR="00C34FDB" w:rsidRPr="005C3E73" w:rsidRDefault="00C34FDB" w:rsidP="00F3643E">
      <w:pPr>
        <w:pStyle w:val="paragraph"/>
        <w:spacing w:before="0" w:beforeAutospacing="0" w:after="0" w:afterAutospacing="0"/>
        <w:ind w:left="720" w:right="720"/>
        <w:jc w:val="center"/>
        <w:rPr>
          <w:rFonts w:ascii="Cambria" w:hAnsi="Cambria" w:cs="Cambria"/>
          <w:b/>
          <w:bCs/>
          <w:sz w:val="20"/>
          <w:szCs w:val="20"/>
        </w:rPr>
      </w:pPr>
      <w:r w:rsidRPr="005C3E73">
        <w:rPr>
          <w:rFonts w:ascii="Cambria" w:hAnsi="Cambria" w:cs="Cambria"/>
          <w:b/>
          <w:bCs/>
          <w:sz w:val="20"/>
          <w:szCs w:val="20"/>
        </w:rPr>
        <w:t>CASE 14.577 TEOBALDO ENRIQUE MARTÍNEZ FUENTES AND FAMILY</w:t>
      </w:r>
    </w:p>
    <w:p w14:paraId="518EF999"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750A3FA4" w14:textId="183045EF"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sz w:val="20"/>
          <w:szCs w:val="20"/>
        </w:rPr>
        <w:t>On July 26, 2022, the following met in the city of Bogotá: Giovanny Andrés Vega Barbosa, Director of the International Legal Defense Directorate of the National Agency for the Legal Defense of the State (ANDJE), acting with due authorization on behalf of the Colombian State, hereinafter “the State” or “the Colombian State”; and Narciso Guerra Torres, on behalf of the victims, hereinafter “the petitioner”</w:t>
      </w:r>
      <w:r w:rsidR="00A4450F" w:rsidRPr="005C3E73">
        <w:rPr>
          <w:rFonts w:ascii="Cambria" w:hAnsi="Cambria" w:cs="Cambria"/>
          <w:sz w:val="20"/>
          <w:szCs w:val="20"/>
        </w:rPr>
        <w:t>,</w:t>
      </w:r>
      <w:r w:rsidRPr="005C3E73">
        <w:rPr>
          <w:rFonts w:ascii="Cambria" w:hAnsi="Cambria" w:cs="Cambria"/>
          <w:sz w:val="20"/>
          <w:szCs w:val="20"/>
        </w:rPr>
        <w:t xml:space="preserve"> </w:t>
      </w:r>
      <w:r w:rsidR="00A4450F" w:rsidRPr="005C3E73">
        <w:rPr>
          <w:rFonts w:ascii="Cambria" w:hAnsi="Cambria" w:cs="Cambria"/>
          <w:sz w:val="20"/>
          <w:szCs w:val="20"/>
        </w:rPr>
        <w:t>who have decided to sign this Friendly Settlement Agreement in the framework of Case 14. 577 Teobaldo Enrique Martínez Fuentes and family, ongoing before the Inter-American Commission on Human Rights.</w:t>
      </w:r>
    </w:p>
    <w:p w14:paraId="25386759"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7FE1830A" w14:textId="77777777" w:rsidR="00C34FDB" w:rsidRPr="005C3E73" w:rsidRDefault="00C34FDB" w:rsidP="00F3643E">
      <w:pPr>
        <w:pStyle w:val="paragraph"/>
        <w:spacing w:before="0" w:beforeAutospacing="0" w:after="0" w:afterAutospacing="0"/>
        <w:ind w:left="720" w:right="720"/>
        <w:jc w:val="center"/>
        <w:rPr>
          <w:rFonts w:ascii="Cambria" w:hAnsi="Cambria" w:cs="Cambria"/>
          <w:b/>
          <w:bCs/>
          <w:sz w:val="20"/>
          <w:szCs w:val="20"/>
        </w:rPr>
      </w:pPr>
      <w:r w:rsidRPr="005C3E73">
        <w:rPr>
          <w:rFonts w:ascii="Cambria" w:hAnsi="Cambria" w:cs="Cambria"/>
          <w:b/>
          <w:bCs/>
          <w:sz w:val="20"/>
          <w:szCs w:val="20"/>
        </w:rPr>
        <w:t>PART ONE: DEFINITIONS</w:t>
      </w:r>
    </w:p>
    <w:p w14:paraId="096D224E"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3AC9ADA1"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sz w:val="20"/>
          <w:szCs w:val="20"/>
        </w:rPr>
        <w:t>For the purposes of this agreement, the following definitions shall apply:</w:t>
      </w:r>
    </w:p>
    <w:p w14:paraId="6616C22B"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1223CCCE"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IACHR or Inter-American Commission</w:t>
      </w:r>
      <w:r w:rsidRPr="005C3E73">
        <w:rPr>
          <w:rFonts w:ascii="Cambria" w:hAnsi="Cambria" w:cs="Cambria"/>
          <w:b/>
          <w:bCs/>
          <w:sz w:val="20"/>
          <w:szCs w:val="20"/>
        </w:rPr>
        <w:t xml:space="preserve">: </w:t>
      </w:r>
      <w:r w:rsidRPr="005C3E73">
        <w:rPr>
          <w:rFonts w:ascii="Cambria" w:hAnsi="Cambria" w:cs="Cambria"/>
          <w:sz w:val="20"/>
          <w:szCs w:val="20"/>
        </w:rPr>
        <w:t>The</w:t>
      </w:r>
      <w:r w:rsidRPr="005C3E73">
        <w:rPr>
          <w:rFonts w:ascii="Cambria" w:hAnsi="Cambria" w:cs="Cambria"/>
          <w:b/>
          <w:bCs/>
          <w:sz w:val="20"/>
          <w:szCs w:val="20"/>
        </w:rPr>
        <w:t xml:space="preserve"> </w:t>
      </w:r>
      <w:r w:rsidRPr="005C3E73">
        <w:rPr>
          <w:rFonts w:ascii="Cambria" w:hAnsi="Cambria" w:cs="Cambria"/>
          <w:sz w:val="20"/>
          <w:szCs w:val="20"/>
        </w:rPr>
        <w:t>Inter-American Commission on Human Rights.</w:t>
      </w:r>
    </w:p>
    <w:p w14:paraId="0274C4DF"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54B13DCE"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Moral damages</w:t>
      </w:r>
      <w:r w:rsidRPr="005C3E73">
        <w:rPr>
          <w:rFonts w:ascii="Cambria" w:hAnsi="Cambria" w:cs="Cambria"/>
          <w:b/>
          <w:bCs/>
          <w:sz w:val="20"/>
          <w:szCs w:val="20"/>
        </w:rPr>
        <w:t xml:space="preserve">: </w:t>
      </w:r>
      <w:r w:rsidRPr="005C3E73">
        <w:rPr>
          <w:rFonts w:ascii="Cambria" w:hAnsi="Cambria" w:cs="Cambria"/>
          <w:sz w:val="20"/>
          <w:szCs w:val="20"/>
        </w:rPr>
        <w:t>The harmful effects of the facts of the case that are not of an economic or monetary nature, manifested through the victims’ pain, suffering, sorrow, distress, and anguish.</w:t>
      </w:r>
    </w:p>
    <w:p w14:paraId="2E9CFAC8"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574D8732"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Material damages</w:t>
      </w:r>
      <w:r w:rsidRPr="005C3E73">
        <w:rPr>
          <w:rFonts w:ascii="Cambria" w:hAnsi="Cambria" w:cs="Cambria"/>
          <w:b/>
          <w:bCs/>
          <w:sz w:val="20"/>
          <w:szCs w:val="20"/>
        </w:rPr>
        <w:t>:</w:t>
      </w:r>
      <w:r w:rsidRPr="005C3E73">
        <w:rPr>
          <w:rFonts w:ascii="Cambria" w:hAnsi="Cambria" w:cs="Cambria"/>
          <w:sz w:val="20"/>
          <w:szCs w:val="20"/>
        </w:rPr>
        <w:t xml:space="preserve"> The loss or impairment of the victim’s income, the expenses incurred as a result of the facts, and the consequences of a monetary nature that have a causal link with the facts of the case.</w:t>
      </w:r>
      <w:r w:rsidRPr="005C3E73">
        <w:rPr>
          <w:rFonts w:ascii="Cambria" w:hAnsi="Cambria" w:cs="Cambria"/>
          <w:sz w:val="20"/>
          <w:szCs w:val="20"/>
          <w:vertAlign w:val="superscript"/>
        </w:rPr>
        <w:footnoteReference w:id="3"/>
      </w:r>
    </w:p>
    <w:p w14:paraId="54488060"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p>
    <w:p w14:paraId="7C71BC56"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Non-material damages</w:t>
      </w:r>
      <w:r w:rsidRPr="005C3E73">
        <w:rPr>
          <w:rFonts w:ascii="Cambria" w:hAnsi="Cambria" w:cs="Cambria"/>
          <w:b/>
          <w:bCs/>
          <w:sz w:val="20"/>
          <w:szCs w:val="20"/>
        </w:rPr>
        <w:t xml:space="preserve">: </w:t>
      </w:r>
      <w:r w:rsidRPr="005C3E73">
        <w:rPr>
          <w:rFonts w:ascii="Cambria" w:hAnsi="Cambria" w:cs="Cambria"/>
          <w:sz w:val="20"/>
          <w:szCs w:val="20"/>
        </w:rPr>
        <w:t>The suffering and grief caused to the victims, the impairment of values of great personal importance, and the alterations of a non-monetary nature in the living conditions of the victim and his family.</w:t>
      </w:r>
      <w:r w:rsidRPr="005C3E73">
        <w:rPr>
          <w:rFonts w:ascii="Cambria" w:hAnsi="Cambria" w:cs="Cambria"/>
          <w:sz w:val="20"/>
          <w:szCs w:val="20"/>
          <w:vertAlign w:val="superscript"/>
        </w:rPr>
        <w:footnoteReference w:id="4"/>
      </w:r>
    </w:p>
    <w:p w14:paraId="32532ACD"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p>
    <w:p w14:paraId="3B9DC22E"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State or Colombian State</w:t>
      </w:r>
      <w:r w:rsidRPr="005C3E73">
        <w:rPr>
          <w:rFonts w:ascii="Cambria" w:hAnsi="Cambria" w:cs="Cambria"/>
          <w:b/>
          <w:bCs/>
          <w:sz w:val="20"/>
          <w:szCs w:val="20"/>
        </w:rPr>
        <w:t xml:space="preserve">: </w:t>
      </w:r>
      <w:r w:rsidRPr="005C3E73">
        <w:rPr>
          <w:rFonts w:ascii="Cambria" w:hAnsi="Cambria" w:cs="Cambria"/>
          <w:sz w:val="20"/>
          <w:szCs w:val="20"/>
        </w:rPr>
        <w:t>In accordance with public international law, to be understood as the signatory of the American Convention on Human Rights, hereinafter “the American Convention” or “the ACHR.”</w:t>
      </w:r>
    </w:p>
    <w:p w14:paraId="2E2F3208"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639F3625"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Satisfaction measures</w:t>
      </w:r>
      <w:r w:rsidRPr="005C3E73">
        <w:rPr>
          <w:rFonts w:ascii="Cambria" w:hAnsi="Cambria" w:cs="Cambria"/>
          <w:b/>
          <w:bCs/>
          <w:sz w:val="20"/>
          <w:szCs w:val="20"/>
        </w:rPr>
        <w:t xml:space="preserve">: </w:t>
      </w:r>
      <w:r w:rsidRPr="005C3E73">
        <w:rPr>
          <w:rFonts w:ascii="Cambria" w:hAnsi="Cambria" w:cs="Cambria"/>
          <w:sz w:val="20"/>
          <w:szCs w:val="20"/>
        </w:rPr>
        <w:t>Non-monetary measures that are intended to ensure the recovery of the victims from the harm they have suffered. Examples of this type of measures include the public acknowledgment of the truth and acts of redress.</w:t>
      </w:r>
    </w:p>
    <w:p w14:paraId="6DED1017"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3A8F3CB7"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Parties</w:t>
      </w:r>
      <w:r w:rsidRPr="005C3E73">
        <w:rPr>
          <w:rFonts w:ascii="Cambria" w:hAnsi="Cambria" w:cs="Cambria"/>
          <w:b/>
          <w:bCs/>
          <w:sz w:val="20"/>
          <w:szCs w:val="20"/>
        </w:rPr>
        <w:t xml:space="preserve">: </w:t>
      </w:r>
      <w:r w:rsidRPr="005C3E73">
        <w:rPr>
          <w:rFonts w:ascii="Cambria" w:hAnsi="Cambria" w:cs="Cambria"/>
          <w:sz w:val="20"/>
          <w:szCs w:val="20"/>
        </w:rPr>
        <w:t>The State of Colombia, the members of Mr. Teobaldo Enrique Martínez Fuentes’s family, and their representatives.</w:t>
      </w:r>
    </w:p>
    <w:p w14:paraId="241903C9"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6EB2FE8C"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r w:rsidRPr="005C3E73">
        <w:rPr>
          <w:rFonts w:ascii="Cambria" w:hAnsi="Cambria" w:cs="Cambria"/>
          <w:b/>
          <w:bCs/>
          <w:sz w:val="20"/>
          <w:szCs w:val="20"/>
          <w:u w:val="single"/>
        </w:rPr>
        <w:t>Acknowledgment of responsibility</w:t>
      </w:r>
      <w:r w:rsidRPr="005C3E73">
        <w:rPr>
          <w:rFonts w:ascii="Cambria" w:hAnsi="Cambria" w:cs="Cambria"/>
          <w:b/>
          <w:bCs/>
          <w:sz w:val="20"/>
          <w:szCs w:val="20"/>
        </w:rPr>
        <w:t xml:space="preserve">: </w:t>
      </w:r>
      <w:r w:rsidRPr="005C3E73">
        <w:rPr>
          <w:rFonts w:ascii="Cambria" w:hAnsi="Cambria" w:cs="Cambria"/>
          <w:sz w:val="20"/>
          <w:szCs w:val="20"/>
        </w:rPr>
        <w:t>Acceptance of actions and omissions attributed to the State that violate one or more of its obligations under international human rights law.</w:t>
      </w:r>
    </w:p>
    <w:p w14:paraId="63DC3A77" w14:textId="77777777" w:rsidR="00C34FDB" w:rsidRPr="005C3E73" w:rsidRDefault="00C34FDB" w:rsidP="00F3643E">
      <w:pPr>
        <w:pStyle w:val="paragraph"/>
        <w:spacing w:before="0" w:beforeAutospacing="0" w:after="0" w:afterAutospacing="0"/>
        <w:ind w:left="720" w:right="720"/>
        <w:jc w:val="both"/>
        <w:rPr>
          <w:rFonts w:ascii="Cambria" w:hAnsi="Cambria" w:cs="Cambria"/>
          <w:sz w:val="20"/>
          <w:szCs w:val="20"/>
        </w:rPr>
      </w:pPr>
    </w:p>
    <w:p w14:paraId="12BBDFF1" w14:textId="11ED3871"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b/>
          <w:bCs/>
          <w:sz w:val="20"/>
          <w:szCs w:val="20"/>
          <w:u w:val="single"/>
        </w:rPr>
        <w:t xml:space="preserve">Comprehensive </w:t>
      </w:r>
      <w:r w:rsidR="007239C0" w:rsidRPr="007239C0">
        <w:rPr>
          <w:rFonts w:ascii="Cambria" w:hAnsi="Cambria" w:cs="Cambria"/>
          <w:b/>
          <w:bCs/>
          <w:sz w:val="20"/>
          <w:szCs w:val="20"/>
          <w:u w:val="single"/>
        </w:rPr>
        <w:t>reparation</w:t>
      </w:r>
      <w:r w:rsidRPr="007239C0">
        <w:rPr>
          <w:rFonts w:ascii="Cambria" w:hAnsi="Cambria" w:cs="Cambria"/>
          <w:b/>
          <w:bCs/>
          <w:sz w:val="20"/>
          <w:szCs w:val="20"/>
        </w:rPr>
        <w:t xml:space="preserve">: </w:t>
      </w:r>
      <w:r w:rsidRPr="007239C0">
        <w:rPr>
          <w:rFonts w:ascii="Cambria" w:hAnsi="Cambria" w:cs="Cambria"/>
          <w:sz w:val="20"/>
          <w:szCs w:val="20"/>
        </w:rPr>
        <w:t>All those measures that objectively and symbolically restore the victim to the state prior to the harm caused.</w:t>
      </w:r>
    </w:p>
    <w:p w14:paraId="4C8AEBEE"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0889D8F7"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b/>
          <w:bCs/>
          <w:sz w:val="20"/>
          <w:szCs w:val="20"/>
          <w:u w:val="single"/>
        </w:rPr>
        <w:t>Representative of the victims</w:t>
      </w:r>
      <w:r w:rsidRPr="007239C0">
        <w:rPr>
          <w:rFonts w:ascii="Cambria" w:hAnsi="Cambria" w:cs="Cambria"/>
          <w:b/>
          <w:bCs/>
          <w:sz w:val="20"/>
          <w:szCs w:val="20"/>
        </w:rPr>
        <w:t xml:space="preserve">: </w:t>
      </w:r>
      <w:r w:rsidRPr="007239C0">
        <w:rPr>
          <w:rFonts w:ascii="Cambria" w:hAnsi="Cambria" w:cs="Cambria"/>
          <w:sz w:val="20"/>
          <w:szCs w:val="20"/>
        </w:rPr>
        <w:t>Dr. Narciso Guerra Torres.</w:t>
      </w:r>
    </w:p>
    <w:p w14:paraId="2B55247E"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7C65C86A"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b/>
          <w:bCs/>
          <w:sz w:val="20"/>
          <w:szCs w:val="20"/>
          <w:u w:val="single"/>
        </w:rPr>
        <w:t>Friendly settlement</w:t>
      </w:r>
      <w:r w:rsidRPr="007239C0">
        <w:rPr>
          <w:rFonts w:ascii="Cambria" w:hAnsi="Cambria" w:cs="Cambria"/>
          <w:b/>
          <w:bCs/>
          <w:sz w:val="20"/>
          <w:szCs w:val="20"/>
        </w:rPr>
        <w:t xml:space="preserve">: </w:t>
      </w:r>
      <w:r w:rsidRPr="007239C0">
        <w:rPr>
          <w:rFonts w:ascii="Cambria" w:hAnsi="Cambria" w:cs="Cambria"/>
          <w:sz w:val="20"/>
          <w:szCs w:val="20"/>
        </w:rPr>
        <w:t>An alternative dispute resolution mechanism, used for peaceful and consensual settlements before the Inter-American Commission.</w:t>
      </w:r>
    </w:p>
    <w:p w14:paraId="67C6981F"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48C6C2CA"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b/>
          <w:bCs/>
          <w:sz w:val="20"/>
          <w:szCs w:val="20"/>
          <w:u w:val="single"/>
        </w:rPr>
        <w:t>Victims</w:t>
      </w:r>
      <w:r w:rsidRPr="007239C0">
        <w:rPr>
          <w:rFonts w:ascii="Cambria" w:hAnsi="Cambria" w:cs="Cambria"/>
          <w:b/>
          <w:bCs/>
          <w:sz w:val="20"/>
          <w:szCs w:val="20"/>
        </w:rPr>
        <w:t xml:space="preserve">: </w:t>
      </w:r>
      <w:r w:rsidRPr="007239C0">
        <w:rPr>
          <w:rFonts w:ascii="Cambria" w:hAnsi="Cambria" w:cs="Cambria"/>
          <w:sz w:val="20"/>
          <w:szCs w:val="20"/>
        </w:rPr>
        <w:t>The members of Mr. Teobaldo Enrique Martínez Fuentes’s family.</w:t>
      </w:r>
    </w:p>
    <w:p w14:paraId="0C2B9DF2"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0057093C" w14:textId="77777777" w:rsidR="00C34FDB" w:rsidRPr="007239C0" w:rsidRDefault="00C34FDB" w:rsidP="00F3643E">
      <w:pPr>
        <w:pStyle w:val="paragraph"/>
        <w:spacing w:before="0" w:beforeAutospacing="0" w:after="0" w:afterAutospacing="0"/>
        <w:ind w:left="720" w:right="720"/>
        <w:jc w:val="center"/>
        <w:rPr>
          <w:rFonts w:ascii="Cambria" w:hAnsi="Cambria" w:cs="Cambria"/>
          <w:b/>
          <w:bCs/>
          <w:sz w:val="20"/>
          <w:szCs w:val="20"/>
        </w:rPr>
      </w:pPr>
      <w:r w:rsidRPr="007239C0">
        <w:rPr>
          <w:rFonts w:ascii="Cambria" w:hAnsi="Cambria" w:cs="Cambria"/>
          <w:b/>
          <w:bCs/>
          <w:sz w:val="20"/>
          <w:szCs w:val="20"/>
        </w:rPr>
        <w:t>PART TWO: BACKGROUND</w:t>
      </w:r>
    </w:p>
    <w:p w14:paraId="2609FEBE"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687E7E7D" w14:textId="77777777" w:rsidR="00C34FDB" w:rsidRPr="007239C0" w:rsidRDefault="00C34FDB" w:rsidP="00F3643E">
      <w:pPr>
        <w:pStyle w:val="paragraph"/>
        <w:numPr>
          <w:ilvl w:val="0"/>
          <w:numId w:val="53"/>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On February 3, 2010, the Inter-American Commission received a petition lodged by Mrs. Yadira Luz Martínez Fuentes in connection with the murder of her brother, Mr. Teobaldo Enrique Martínez Fuentes, on March 14, 1998, on the outskirts of the village of El Plan in the municipality of La Jagua del Pilar, department of La Guajira.</w:t>
      </w:r>
    </w:p>
    <w:p w14:paraId="57C763DD" w14:textId="77777777" w:rsidR="00C34FDB" w:rsidRPr="007239C0"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174F090D" w14:textId="77777777" w:rsidR="00C34FDB" w:rsidRPr="007239C0" w:rsidRDefault="00C34FDB" w:rsidP="00F3643E">
      <w:pPr>
        <w:pStyle w:val="paragraph"/>
        <w:numPr>
          <w:ilvl w:val="0"/>
          <w:numId w:val="54"/>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Regarding the background to the case, the initial petition states that the murder was committed by a group of unidentified men, allegedly members of the Northern Bloc of the United Self-Defense Forces of Colombia operating in La Guajira department.</w:t>
      </w:r>
      <w:r w:rsidRPr="007239C0">
        <w:rPr>
          <w:rFonts w:ascii="Cambria" w:hAnsi="Cambria" w:cs="Cambria"/>
          <w:sz w:val="20"/>
          <w:szCs w:val="20"/>
          <w:vertAlign w:val="superscript"/>
        </w:rPr>
        <w:footnoteReference w:id="5"/>
      </w:r>
    </w:p>
    <w:p w14:paraId="4E1B038D" w14:textId="77777777" w:rsidR="00C34FDB" w:rsidRPr="007239C0"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7D640B2A" w14:textId="77777777" w:rsidR="00C34FDB" w:rsidRPr="007239C0" w:rsidRDefault="00C34FDB" w:rsidP="00F3643E">
      <w:pPr>
        <w:pStyle w:val="paragraph"/>
        <w:numPr>
          <w:ilvl w:val="0"/>
          <w:numId w:val="55"/>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On December 20, 2011, the Attorney General’s Office opened a preliminary investigation into the facts of the case.</w:t>
      </w:r>
      <w:r w:rsidRPr="007239C0">
        <w:rPr>
          <w:rFonts w:ascii="Cambria" w:hAnsi="Cambria" w:cs="Cambria"/>
          <w:sz w:val="20"/>
          <w:szCs w:val="20"/>
          <w:vertAlign w:val="superscript"/>
        </w:rPr>
        <w:footnoteReference w:id="6"/>
      </w:r>
    </w:p>
    <w:p w14:paraId="020D4D63" w14:textId="77777777" w:rsidR="00C34FDB" w:rsidRPr="007239C0"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535E7DA5" w14:textId="77777777" w:rsidR="00C34FDB" w:rsidRPr="007239C0" w:rsidRDefault="00C34FDB" w:rsidP="00F3643E">
      <w:pPr>
        <w:pStyle w:val="paragraph"/>
        <w:numPr>
          <w:ilvl w:val="0"/>
          <w:numId w:val="56"/>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On May 15, 2015, by means of Resolution No. 009 of January 26, 2015, the Law 600 Processing Unit was established in Riohacha, La Guajira, as a result of which the proceedings were referred to the First Delegate Prosecutor before the Criminal Judges of the Riohacha Circuit. The First Delegate Prosecutor took cognizance on July 29, 2016, ordered the gathering of evidence to establish the facts of the case, but failed to obtain the information necessary to identify the perpetrators of the actions under investigation.</w:t>
      </w:r>
      <w:r w:rsidRPr="007239C0">
        <w:rPr>
          <w:rFonts w:ascii="Cambria" w:hAnsi="Cambria" w:cs="Cambria"/>
          <w:sz w:val="20"/>
          <w:szCs w:val="20"/>
          <w:vertAlign w:val="superscript"/>
        </w:rPr>
        <w:footnoteReference w:id="7"/>
      </w:r>
    </w:p>
    <w:p w14:paraId="6B070300" w14:textId="77777777" w:rsidR="00C34FDB" w:rsidRPr="00F31EB3"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070B029A" w14:textId="77777777" w:rsidR="00C34FDB" w:rsidRPr="007239C0" w:rsidRDefault="00C34FDB" w:rsidP="00F3643E">
      <w:pPr>
        <w:pStyle w:val="paragraph"/>
        <w:numPr>
          <w:ilvl w:val="0"/>
          <w:numId w:val="57"/>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Finally, by means of Resolution No. 038 of March 24, 2021, the Prosecutor’s Office decided to send the proceedings to the archive since statutory limitations had been triggered, and that decision became final on April 21, 2021.</w:t>
      </w:r>
      <w:r w:rsidRPr="007239C0">
        <w:rPr>
          <w:rFonts w:ascii="Cambria" w:hAnsi="Cambria" w:cs="Cambria"/>
          <w:sz w:val="20"/>
          <w:szCs w:val="20"/>
          <w:vertAlign w:val="superscript"/>
        </w:rPr>
        <w:footnoteReference w:id="8"/>
      </w:r>
    </w:p>
    <w:p w14:paraId="4C6F7B20" w14:textId="77777777" w:rsidR="00C34FDB" w:rsidRPr="007239C0"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6BD368C4" w14:textId="77777777" w:rsidR="00C34FDB" w:rsidRPr="007239C0" w:rsidRDefault="00C34FDB" w:rsidP="00F3643E">
      <w:pPr>
        <w:pStyle w:val="paragraph"/>
        <w:numPr>
          <w:ilvl w:val="0"/>
          <w:numId w:val="58"/>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On May 6, 2022, the Memorandum of Understanding toward a Friendly Settlement was signed.</w:t>
      </w:r>
    </w:p>
    <w:p w14:paraId="286727DB" w14:textId="77777777" w:rsidR="00C34FDB" w:rsidRPr="00F31EB3" w:rsidRDefault="00C34FDB" w:rsidP="00F3643E">
      <w:pPr>
        <w:pStyle w:val="paragraph"/>
        <w:spacing w:before="0" w:beforeAutospacing="0" w:after="0" w:afterAutospacing="0"/>
        <w:ind w:left="720" w:right="720" w:firstLine="720"/>
        <w:jc w:val="both"/>
        <w:rPr>
          <w:rFonts w:ascii="Cambria" w:hAnsi="Cambria" w:cs="Cambria"/>
          <w:sz w:val="20"/>
          <w:szCs w:val="20"/>
          <w:highlight w:val="yellow"/>
        </w:rPr>
      </w:pPr>
    </w:p>
    <w:p w14:paraId="1870D1C1" w14:textId="77777777" w:rsidR="00C34FDB" w:rsidRPr="007239C0" w:rsidRDefault="00C34FDB" w:rsidP="00F3643E">
      <w:pPr>
        <w:pStyle w:val="paragraph"/>
        <w:numPr>
          <w:ilvl w:val="0"/>
          <w:numId w:val="59"/>
        </w:numPr>
        <w:spacing w:before="0" w:beforeAutospacing="0" w:after="0" w:afterAutospacing="0"/>
        <w:ind w:right="720" w:firstLine="720"/>
        <w:jc w:val="both"/>
        <w:rPr>
          <w:rFonts w:ascii="Cambria" w:hAnsi="Cambria" w:cs="Cambria"/>
          <w:sz w:val="20"/>
          <w:szCs w:val="20"/>
        </w:rPr>
      </w:pPr>
      <w:r w:rsidRPr="007239C0">
        <w:rPr>
          <w:rFonts w:ascii="Cambria" w:hAnsi="Cambria" w:cs="Cambria"/>
          <w:sz w:val="20"/>
          <w:szCs w:val="20"/>
        </w:rPr>
        <w:t>Over the following months, the parties held joint meetings to examine the reparation measures to be included in the Friendly Settlement Agreement that has now been signed.</w:t>
      </w:r>
    </w:p>
    <w:p w14:paraId="3B2BA0BF" w14:textId="77777777" w:rsidR="00C34FDB" w:rsidRPr="007239C0" w:rsidRDefault="00C34FDB" w:rsidP="00F3643E">
      <w:pPr>
        <w:pStyle w:val="paragraph"/>
        <w:spacing w:before="0" w:beforeAutospacing="0" w:after="0" w:afterAutospacing="0"/>
        <w:ind w:left="720" w:right="720" w:firstLine="720"/>
        <w:jc w:val="both"/>
        <w:rPr>
          <w:rFonts w:ascii="Cambria" w:hAnsi="Cambria" w:cs="Cambria"/>
          <w:sz w:val="20"/>
          <w:szCs w:val="20"/>
        </w:rPr>
      </w:pPr>
    </w:p>
    <w:p w14:paraId="13C28BBE" w14:textId="77777777" w:rsidR="00C34FDB" w:rsidRPr="007239C0" w:rsidRDefault="00C34FDB" w:rsidP="00F3643E">
      <w:pPr>
        <w:pStyle w:val="paragraph"/>
        <w:spacing w:before="0" w:beforeAutospacing="0" w:after="0" w:afterAutospacing="0"/>
        <w:ind w:left="720" w:right="720"/>
        <w:jc w:val="center"/>
        <w:rPr>
          <w:rFonts w:ascii="Cambria" w:hAnsi="Cambria" w:cs="Cambria"/>
          <w:b/>
          <w:bCs/>
          <w:sz w:val="20"/>
          <w:szCs w:val="20"/>
        </w:rPr>
      </w:pPr>
      <w:r w:rsidRPr="007239C0">
        <w:rPr>
          <w:rFonts w:ascii="Cambria" w:hAnsi="Cambria" w:cs="Cambria"/>
          <w:b/>
          <w:bCs/>
          <w:sz w:val="20"/>
          <w:szCs w:val="20"/>
        </w:rPr>
        <w:t>PART THREE: BENEFICIARIES</w:t>
      </w:r>
    </w:p>
    <w:p w14:paraId="2977AF06"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6F823917"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The Colombian State recognizes the following persons as victims in this agreement:</w:t>
      </w:r>
    </w:p>
    <w:p w14:paraId="71D5253B"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tbl>
      <w:tblPr>
        <w:tblW w:w="7822"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41"/>
        <w:gridCol w:w="1854"/>
        <w:gridCol w:w="2627"/>
      </w:tblGrid>
      <w:tr w:rsidR="00C34FDB" w:rsidRPr="00F31EB3" w14:paraId="147078E6" w14:textId="77777777" w:rsidTr="007239C0">
        <w:trPr>
          <w:trHeight w:val="300"/>
        </w:trPr>
        <w:tc>
          <w:tcPr>
            <w:tcW w:w="3341" w:type="dxa"/>
            <w:tcBorders>
              <w:top w:val="single" w:sz="6" w:space="0" w:color="auto"/>
              <w:left w:val="single" w:sz="6" w:space="0" w:color="auto"/>
              <w:bottom w:val="single" w:sz="6" w:space="0" w:color="auto"/>
              <w:right w:val="single" w:sz="6" w:space="0" w:color="auto"/>
            </w:tcBorders>
            <w:shd w:val="clear" w:color="auto" w:fill="BFBFBF"/>
            <w:vAlign w:val="center"/>
          </w:tcPr>
          <w:p w14:paraId="19024EA2" w14:textId="77777777" w:rsidR="00C34FDB" w:rsidRPr="007239C0" w:rsidRDefault="00C34FDB" w:rsidP="005E68B3">
            <w:pPr>
              <w:pStyle w:val="paragraph"/>
              <w:spacing w:before="0" w:beforeAutospacing="0" w:after="0" w:afterAutospacing="0"/>
              <w:ind w:left="720" w:right="720"/>
              <w:jc w:val="both"/>
              <w:rPr>
                <w:rFonts w:ascii="Cambria" w:hAnsi="Cambria" w:cs="Cambria"/>
                <w:b/>
                <w:bCs/>
                <w:sz w:val="20"/>
                <w:szCs w:val="20"/>
              </w:rPr>
            </w:pPr>
            <w:r w:rsidRPr="007239C0">
              <w:rPr>
                <w:rFonts w:ascii="Cambria" w:hAnsi="Cambria" w:cs="Cambria"/>
                <w:b/>
                <w:bCs/>
                <w:sz w:val="20"/>
                <w:szCs w:val="20"/>
              </w:rPr>
              <w:t>Name</w:t>
            </w:r>
          </w:p>
        </w:tc>
        <w:tc>
          <w:tcPr>
            <w:tcW w:w="1854" w:type="dxa"/>
            <w:tcBorders>
              <w:top w:val="single" w:sz="6" w:space="0" w:color="auto"/>
              <w:left w:val="single" w:sz="6" w:space="0" w:color="auto"/>
              <w:bottom w:val="single" w:sz="6" w:space="0" w:color="auto"/>
              <w:right w:val="single" w:sz="6" w:space="0" w:color="auto"/>
            </w:tcBorders>
            <w:shd w:val="clear" w:color="auto" w:fill="BFBFBF"/>
            <w:vAlign w:val="center"/>
          </w:tcPr>
          <w:p w14:paraId="088F5C9F" w14:textId="77777777" w:rsidR="00C34FDB" w:rsidRPr="007239C0" w:rsidRDefault="00C34FDB" w:rsidP="00DF37B6">
            <w:pPr>
              <w:pStyle w:val="paragraph"/>
              <w:spacing w:before="0" w:beforeAutospacing="0" w:after="0" w:afterAutospacing="0"/>
              <w:ind w:left="148" w:right="163"/>
              <w:jc w:val="center"/>
              <w:rPr>
                <w:rFonts w:ascii="Cambria" w:hAnsi="Cambria" w:cs="Cambria"/>
                <w:b/>
                <w:bCs/>
                <w:sz w:val="20"/>
                <w:szCs w:val="20"/>
              </w:rPr>
            </w:pPr>
            <w:r w:rsidRPr="007239C0">
              <w:rPr>
                <w:rFonts w:ascii="Cambria" w:hAnsi="Cambria" w:cs="Cambria"/>
                <w:b/>
                <w:bCs/>
                <w:sz w:val="20"/>
                <w:szCs w:val="20"/>
              </w:rPr>
              <w:t>Identity Card No.</w:t>
            </w:r>
          </w:p>
        </w:tc>
        <w:tc>
          <w:tcPr>
            <w:tcW w:w="2627" w:type="dxa"/>
            <w:tcBorders>
              <w:top w:val="single" w:sz="6" w:space="0" w:color="auto"/>
              <w:left w:val="single" w:sz="6" w:space="0" w:color="auto"/>
              <w:bottom w:val="single" w:sz="6" w:space="0" w:color="auto"/>
              <w:right w:val="single" w:sz="6" w:space="0" w:color="auto"/>
            </w:tcBorders>
            <w:shd w:val="clear" w:color="auto" w:fill="BFBFBF"/>
            <w:vAlign w:val="center"/>
          </w:tcPr>
          <w:p w14:paraId="7EE0E2F9" w14:textId="77777777" w:rsidR="00C34FDB" w:rsidRPr="007239C0" w:rsidRDefault="00C34FDB" w:rsidP="005E68B3">
            <w:pPr>
              <w:pStyle w:val="paragraph"/>
              <w:spacing w:before="0" w:beforeAutospacing="0" w:after="0" w:afterAutospacing="0"/>
              <w:ind w:left="720" w:right="720"/>
              <w:jc w:val="both"/>
              <w:rPr>
                <w:rFonts w:ascii="Cambria" w:hAnsi="Cambria" w:cs="Cambria"/>
                <w:b/>
                <w:bCs/>
                <w:sz w:val="20"/>
                <w:szCs w:val="20"/>
              </w:rPr>
            </w:pPr>
            <w:r w:rsidRPr="007239C0">
              <w:rPr>
                <w:rFonts w:ascii="Cambria" w:hAnsi="Cambria" w:cs="Cambria"/>
                <w:b/>
                <w:bCs/>
                <w:sz w:val="20"/>
                <w:szCs w:val="20"/>
              </w:rPr>
              <w:t>Relationship</w:t>
            </w:r>
          </w:p>
        </w:tc>
      </w:tr>
      <w:tr w:rsidR="00C34FDB" w:rsidRPr="00F31EB3" w14:paraId="7B5189FB" w14:textId="77777777" w:rsidTr="007239C0">
        <w:trPr>
          <w:trHeight w:val="300"/>
        </w:trPr>
        <w:tc>
          <w:tcPr>
            <w:tcW w:w="3341" w:type="dxa"/>
            <w:tcBorders>
              <w:top w:val="single" w:sz="6" w:space="0" w:color="auto"/>
              <w:left w:val="single" w:sz="6" w:space="0" w:color="auto"/>
              <w:bottom w:val="single" w:sz="6" w:space="0" w:color="auto"/>
              <w:right w:val="single" w:sz="6" w:space="0" w:color="auto"/>
            </w:tcBorders>
            <w:shd w:val="clear" w:color="auto" w:fill="FFFFFF"/>
            <w:vAlign w:val="center"/>
          </w:tcPr>
          <w:p w14:paraId="39DACE92" w14:textId="77777777" w:rsidR="00C34FDB" w:rsidRPr="007239C0" w:rsidRDefault="00C34FDB" w:rsidP="007239C0">
            <w:pPr>
              <w:pStyle w:val="paragraph"/>
              <w:spacing w:before="0" w:beforeAutospacing="0" w:after="0" w:afterAutospacing="0"/>
              <w:ind w:left="195" w:right="392"/>
              <w:rPr>
                <w:rFonts w:ascii="Cambria" w:hAnsi="Cambria" w:cs="Cambria"/>
                <w:sz w:val="20"/>
                <w:szCs w:val="20"/>
              </w:rPr>
            </w:pPr>
            <w:r w:rsidRPr="007239C0">
              <w:rPr>
                <w:rFonts w:ascii="Cambria" w:hAnsi="Cambria" w:cs="Cambria"/>
                <w:sz w:val="20"/>
                <w:szCs w:val="20"/>
              </w:rPr>
              <w:t>Yadira Luz Martínez Fuentes</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14:paraId="1A3387AA" w14:textId="77777777" w:rsidR="00C34FDB" w:rsidRPr="007239C0" w:rsidRDefault="00C34FDB" w:rsidP="005E68B3">
            <w:pPr>
              <w:pStyle w:val="paragraph"/>
              <w:spacing w:before="0" w:beforeAutospacing="0" w:after="0" w:afterAutospacing="0"/>
              <w:ind w:left="720" w:right="720"/>
              <w:jc w:val="center"/>
              <w:rPr>
                <w:rFonts w:ascii="Cambria" w:hAnsi="Cambria" w:cs="Cambria"/>
                <w:sz w:val="20"/>
                <w:szCs w:val="20"/>
              </w:rPr>
            </w:pPr>
            <w:r w:rsidRPr="007239C0">
              <w:rPr>
                <w:rFonts w:ascii="Cambria" w:hAnsi="Cambria" w:cs="Cambria"/>
                <w:sz w:val="20"/>
                <w:szCs w:val="20"/>
              </w:rPr>
              <w:t>[…]</w:t>
            </w:r>
          </w:p>
        </w:tc>
        <w:tc>
          <w:tcPr>
            <w:tcW w:w="2627" w:type="dxa"/>
            <w:tcBorders>
              <w:top w:val="single" w:sz="6" w:space="0" w:color="auto"/>
              <w:left w:val="single" w:sz="6" w:space="0" w:color="auto"/>
              <w:bottom w:val="single" w:sz="6" w:space="0" w:color="auto"/>
              <w:right w:val="single" w:sz="6" w:space="0" w:color="auto"/>
            </w:tcBorders>
            <w:shd w:val="clear" w:color="auto" w:fill="FFFFFF"/>
            <w:vAlign w:val="center"/>
          </w:tcPr>
          <w:p w14:paraId="45E84951" w14:textId="77777777" w:rsidR="00C34FDB" w:rsidRPr="007239C0" w:rsidRDefault="00C34FDB" w:rsidP="005E68B3">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Sister</w:t>
            </w:r>
          </w:p>
        </w:tc>
      </w:tr>
      <w:tr w:rsidR="00C34FDB" w:rsidRPr="00F31EB3" w14:paraId="7CC62C1C" w14:textId="77777777" w:rsidTr="007239C0">
        <w:trPr>
          <w:trHeight w:val="300"/>
        </w:trPr>
        <w:tc>
          <w:tcPr>
            <w:tcW w:w="3341" w:type="dxa"/>
            <w:tcBorders>
              <w:top w:val="single" w:sz="6" w:space="0" w:color="auto"/>
              <w:left w:val="single" w:sz="6" w:space="0" w:color="auto"/>
              <w:bottom w:val="single" w:sz="6" w:space="0" w:color="auto"/>
              <w:right w:val="single" w:sz="6" w:space="0" w:color="auto"/>
            </w:tcBorders>
            <w:shd w:val="clear" w:color="auto" w:fill="FFFFFF"/>
            <w:vAlign w:val="center"/>
          </w:tcPr>
          <w:p w14:paraId="02274F0F" w14:textId="77777777" w:rsidR="00C34FDB" w:rsidRPr="007239C0" w:rsidRDefault="00C34FDB" w:rsidP="007239C0">
            <w:pPr>
              <w:pStyle w:val="paragraph"/>
              <w:spacing w:before="0" w:beforeAutospacing="0" w:after="0" w:afterAutospacing="0"/>
              <w:ind w:left="195" w:right="392"/>
              <w:rPr>
                <w:rFonts w:ascii="Cambria" w:hAnsi="Cambria" w:cs="Cambria"/>
                <w:sz w:val="20"/>
                <w:szCs w:val="20"/>
              </w:rPr>
            </w:pPr>
            <w:r w:rsidRPr="007239C0">
              <w:rPr>
                <w:rFonts w:ascii="Cambria" w:hAnsi="Cambria" w:cs="Cambria"/>
                <w:sz w:val="20"/>
                <w:szCs w:val="20"/>
              </w:rPr>
              <w:t>Nelis Felicia Fuentes</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14:paraId="3910A314" w14:textId="77777777" w:rsidR="00C34FDB" w:rsidRPr="007239C0" w:rsidRDefault="00C34FDB" w:rsidP="005E68B3">
            <w:pPr>
              <w:pStyle w:val="paragraph"/>
              <w:spacing w:before="0" w:beforeAutospacing="0" w:after="0" w:afterAutospacing="0"/>
              <w:ind w:left="720" w:right="720"/>
              <w:jc w:val="center"/>
              <w:rPr>
                <w:rFonts w:ascii="Cambria" w:hAnsi="Cambria" w:cs="Cambria"/>
                <w:sz w:val="20"/>
                <w:szCs w:val="20"/>
              </w:rPr>
            </w:pPr>
            <w:r w:rsidRPr="007239C0">
              <w:rPr>
                <w:rFonts w:ascii="Cambria" w:hAnsi="Cambria" w:cs="Cambria"/>
                <w:sz w:val="20"/>
                <w:szCs w:val="20"/>
              </w:rPr>
              <w:t>[…]</w:t>
            </w:r>
          </w:p>
        </w:tc>
        <w:tc>
          <w:tcPr>
            <w:tcW w:w="2627" w:type="dxa"/>
            <w:tcBorders>
              <w:top w:val="single" w:sz="6" w:space="0" w:color="auto"/>
              <w:left w:val="single" w:sz="6" w:space="0" w:color="auto"/>
              <w:bottom w:val="single" w:sz="6" w:space="0" w:color="auto"/>
              <w:right w:val="single" w:sz="6" w:space="0" w:color="auto"/>
            </w:tcBorders>
            <w:shd w:val="clear" w:color="auto" w:fill="FFFFFF"/>
          </w:tcPr>
          <w:p w14:paraId="4E4D0BB0" w14:textId="77777777" w:rsidR="00C34FDB" w:rsidRPr="007239C0" w:rsidRDefault="00C34FDB" w:rsidP="005E68B3">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Sister</w:t>
            </w:r>
          </w:p>
        </w:tc>
      </w:tr>
    </w:tbl>
    <w:p w14:paraId="599731D2"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185F24AD" w14:textId="7F88D3A2"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 xml:space="preserve">The victims recognized in this Friendly Settlement Agreement shall benefit provided they can prove their </w:t>
      </w:r>
      <w:r w:rsidR="00890E0F" w:rsidRPr="007239C0">
        <w:rPr>
          <w:rFonts w:ascii="Cambria" w:hAnsi="Cambria" w:cs="Cambria"/>
          <w:sz w:val="20"/>
          <w:szCs w:val="20"/>
        </w:rPr>
        <w:t xml:space="preserve">relationship by </w:t>
      </w:r>
      <w:r w:rsidR="00A4450F" w:rsidRPr="007239C0">
        <w:rPr>
          <w:rFonts w:ascii="Cambria" w:hAnsi="Cambria" w:cs="Cambria"/>
          <w:sz w:val="20"/>
          <w:szCs w:val="20"/>
        </w:rPr>
        <w:t>consanguinity</w:t>
      </w:r>
      <w:r w:rsidRPr="007239C0">
        <w:rPr>
          <w:rFonts w:ascii="Cambria" w:hAnsi="Cambria" w:cs="Cambria"/>
          <w:sz w:val="20"/>
          <w:szCs w:val="20"/>
        </w:rPr>
        <w:t xml:space="preserve"> with Mr. Teobaldo Enrique Martínez Fuentes.</w:t>
      </w:r>
    </w:p>
    <w:p w14:paraId="150EBD18"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7178F6B1"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Additionally, the victims who shall benefit from this Friendly Settlement Agreement will be those who were alive at the time of the victimizing event</w:t>
      </w:r>
      <w:r w:rsidRPr="007239C0">
        <w:rPr>
          <w:rFonts w:ascii="Cambria" w:hAnsi="Cambria" w:cs="Cambria"/>
          <w:sz w:val="20"/>
          <w:szCs w:val="20"/>
          <w:vertAlign w:val="superscript"/>
        </w:rPr>
        <w:footnoteReference w:id="9"/>
      </w:r>
      <w:r w:rsidRPr="007239C0">
        <w:rPr>
          <w:rFonts w:ascii="Cambria" w:hAnsi="Cambria" w:cs="Cambria"/>
          <w:sz w:val="20"/>
          <w:szCs w:val="20"/>
        </w:rPr>
        <w:t xml:space="preserve"> and are alive at the time of the signing of the Agreement.</w:t>
      </w:r>
    </w:p>
    <w:p w14:paraId="489CCE40"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42A14118" w14:textId="77777777" w:rsidR="00C34FDB" w:rsidRPr="007239C0" w:rsidRDefault="00C34FDB" w:rsidP="00F3643E">
      <w:pPr>
        <w:pStyle w:val="paragraph"/>
        <w:spacing w:before="0" w:beforeAutospacing="0" w:after="0" w:afterAutospacing="0"/>
        <w:ind w:left="720" w:right="720"/>
        <w:jc w:val="center"/>
        <w:rPr>
          <w:rFonts w:ascii="Cambria" w:hAnsi="Cambria" w:cs="Cambria"/>
          <w:b/>
          <w:bCs/>
          <w:sz w:val="20"/>
          <w:szCs w:val="20"/>
        </w:rPr>
      </w:pPr>
      <w:r w:rsidRPr="007239C0">
        <w:rPr>
          <w:rFonts w:ascii="Cambria" w:hAnsi="Cambria" w:cs="Cambria"/>
          <w:b/>
          <w:bCs/>
          <w:sz w:val="20"/>
          <w:szCs w:val="20"/>
        </w:rPr>
        <w:t>PART FOUR: ACKNOWLEDGMENT OF RESPONSIBILITY</w:t>
      </w:r>
    </w:p>
    <w:p w14:paraId="3F4B1960"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3F1941AE" w14:textId="3F2BEDC1"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The Colombian State acknowledges its international responsibility by omission in the violation of the rights enshrined in Articles 8 (right to a fair trial) and 25 (judicial protection) of the American Convention, in conjunction with Article 1(1) thereof (obligation to respect rights), with respect to the family of Mr. Teobaldo Enrique Martínez Fuentes,</w:t>
      </w:r>
      <w:r w:rsidR="00890E0F" w:rsidRPr="007239C0">
        <w:rPr>
          <w:rFonts w:ascii="Cambria" w:hAnsi="Cambria" w:cs="Cambria"/>
          <w:sz w:val="20"/>
          <w:szCs w:val="20"/>
        </w:rPr>
        <w:t xml:space="preserve"> due to</w:t>
      </w:r>
      <w:r w:rsidRPr="007239C0">
        <w:rPr>
          <w:rFonts w:ascii="Cambria" w:hAnsi="Cambria" w:cs="Cambria"/>
          <w:sz w:val="20"/>
          <w:szCs w:val="20"/>
        </w:rPr>
        <w:t xml:space="preserve"> the lack of diligence in the investigation of the facts that resulted in the failure to identify, prosecute, and punish the perpetrators of his murder.</w:t>
      </w:r>
    </w:p>
    <w:p w14:paraId="46F986D4"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6DB64BF4" w14:textId="77777777" w:rsidR="00C34FDB" w:rsidRPr="007239C0" w:rsidRDefault="00C34FDB" w:rsidP="00F3643E">
      <w:pPr>
        <w:pStyle w:val="paragraph"/>
        <w:spacing w:before="0" w:beforeAutospacing="0" w:after="0" w:afterAutospacing="0"/>
        <w:ind w:left="720" w:right="720"/>
        <w:jc w:val="center"/>
        <w:rPr>
          <w:rFonts w:ascii="Cambria" w:hAnsi="Cambria" w:cs="Cambria"/>
          <w:b/>
          <w:bCs/>
          <w:sz w:val="20"/>
          <w:szCs w:val="20"/>
        </w:rPr>
      </w:pPr>
      <w:r w:rsidRPr="007239C0">
        <w:rPr>
          <w:rFonts w:ascii="Cambria" w:hAnsi="Cambria" w:cs="Cambria"/>
          <w:b/>
          <w:bCs/>
          <w:sz w:val="20"/>
          <w:szCs w:val="20"/>
        </w:rPr>
        <w:t xml:space="preserve">PART FIVE: SATISFACTION MEASURES </w:t>
      </w:r>
    </w:p>
    <w:p w14:paraId="058CC0C9"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03CC9D4A"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The Colombian State undertakes to carry out the following satisfaction measure:</w:t>
      </w:r>
    </w:p>
    <w:p w14:paraId="5BBAD12F"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28F7E5D9" w14:textId="77777777" w:rsidR="00C34FDB" w:rsidRPr="007239C0" w:rsidRDefault="00C34FDB" w:rsidP="00F3643E">
      <w:pPr>
        <w:pStyle w:val="paragraph"/>
        <w:numPr>
          <w:ilvl w:val="1"/>
          <w:numId w:val="58"/>
        </w:numPr>
        <w:spacing w:before="0" w:beforeAutospacing="0" w:after="0" w:afterAutospacing="0"/>
        <w:ind w:right="720"/>
        <w:jc w:val="both"/>
        <w:rPr>
          <w:rFonts w:ascii="Cambria" w:hAnsi="Cambria" w:cs="Cambria"/>
          <w:b/>
          <w:bCs/>
          <w:sz w:val="20"/>
          <w:szCs w:val="20"/>
        </w:rPr>
      </w:pPr>
      <w:r w:rsidRPr="007239C0">
        <w:rPr>
          <w:rFonts w:ascii="Cambria" w:hAnsi="Cambria" w:cs="Cambria"/>
          <w:b/>
          <w:bCs/>
          <w:sz w:val="20"/>
          <w:szCs w:val="20"/>
        </w:rPr>
        <w:t xml:space="preserve">Act of Acknowledgment of Responsibility </w:t>
      </w:r>
    </w:p>
    <w:p w14:paraId="49396D47"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3B222684"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The Colombian State shall hold a Public Act of Acknowledgment of Responsibility, in virtual format, with the participation of the family of Mr. Teobaldo Enrique Martínez Fuentes and the petitioner. The act shall be conducted in accordance with the terms of the acknowledgment of responsibility set out in this Agreement.</w:t>
      </w:r>
    </w:p>
    <w:p w14:paraId="282C7B1C"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4D7B9CE4"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This measure shall be performed by the National Agency for the Legal Defense of the State.</w:t>
      </w:r>
    </w:p>
    <w:p w14:paraId="1A3EA7C1"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70B6512E" w14:textId="77777777" w:rsidR="00C34FDB" w:rsidRPr="007239C0" w:rsidRDefault="00C34FDB" w:rsidP="00F3643E">
      <w:pPr>
        <w:pStyle w:val="paragraph"/>
        <w:numPr>
          <w:ilvl w:val="1"/>
          <w:numId w:val="58"/>
        </w:numPr>
        <w:spacing w:before="0" w:beforeAutospacing="0" w:after="0" w:afterAutospacing="0"/>
        <w:ind w:right="720"/>
        <w:jc w:val="both"/>
        <w:rPr>
          <w:rFonts w:ascii="Cambria" w:hAnsi="Cambria" w:cs="Cambria"/>
          <w:b/>
          <w:bCs/>
          <w:sz w:val="20"/>
          <w:szCs w:val="20"/>
        </w:rPr>
      </w:pPr>
      <w:r w:rsidRPr="007239C0">
        <w:rPr>
          <w:rFonts w:ascii="Cambria" w:hAnsi="Cambria" w:cs="Cambria"/>
          <w:b/>
          <w:bCs/>
          <w:sz w:val="20"/>
          <w:szCs w:val="20"/>
        </w:rPr>
        <w:t>Publication of the Article 49 Report</w:t>
      </w:r>
    </w:p>
    <w:p w14:paraId="1D554926"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0112AEF1" w14:textId="5C656BB5" w:rsidR="00890E0F" w:rsidRPr="007239C0" w:rsidRDefault="00890E0F"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The Colombian State will publish the pertinent sections of the friendly settlement report, once it has been approved by the Inter-American Commission, on the web page of the National Agency for the Legal Defense of the State, for a period of six (6) months.</w:t>
      </w:r>
    </w:p>
    <w:p w14:paraId="24B8FA23"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6760D160" w14:textId="77777777" w:rsidR="00C34FDB" w:rsidRPr="007239C0" w:rsidRDefault="00C34FDB" w:rsidP="00F3643E">
      <w:pPr>
        <w:pStyle w:val="paragraph"/>
        <w:spacing w:before="0" w:beforeAutospacing="0" w:after="0" w:afterAutospacing="0"/>
        <w:ind w:left="720" w:right="720"/>
        <w:jc w:val="center"/>
        <w:rPr>
          <w:rFonts w:ascii="Cambria" w:hAnsi="Cambria" w:cs="Cambria"/>
          <w:b/>
          <w:bCs/>
          <w:sz w:val="20"/>
          <w:szCs w:val="20"/>
        </w:rPr>
      </w:pPr>
      <w:r w:rsidRPr="007239C0">
        <w:rPr>
          <w:rFonts w:ascii="Cambria" w:hAnsi="Cambria" w:cs="Cambria"/>
          <w:b/>
          <w:bCs/>
          <w:sz w:val="20"/>
          <w:szCs w:val="20"/>
        </w:rPr>
        <w:t>PART SIX: HEALTH AND REHABILITATION MEASURES</w:t>
      </w:r>
    </w:p>
    <w:p w14:paraId="084D46B7"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179E911B" w14:textId="180160F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r w:rsidRPr="007239C0">
        <w:rPr>
          <w:rFonts w:ascii="Cambria" w:hAnsi="Cambria" w:cs="Cambria"/>
          <w:sz w:val="20"/>
          <w:szCs w:val="20"/>
        </w:rPr>
        <w:t xml:space="preserve">The Ministry of Health and Social Protection, in exercise of the powers described in Decree Law 4107 of 2011, shall coordinate health rehabilitation measures, consisting of medical, psychological, and psychosocial care, through the General Social Security Health System and its constituent bodies, as well as through the Psychosocial Care and Comprehensive Health Program for Victims (PAPSIVI), in order to ensure adequate, timely, and priority treatment for as long as necessary (in accordance with medical </w:t>
      </w:r>
      <w:r w:rsidR="00890E0F" w:rsidRPr="007239C0">
        <w:rPr>
          <w:rFonts w:ascii="Cambria" w:hAnsi="Cambria" w:cs="Cambria"/>
          <w:sz w:val="20"/>
          <w:szCs w:val="20"/>
        </w:rPr>
        <w:t>criteria</w:t>
      </w:r>
      <w:r w:rsidRPr="007239C0">
        <w:rPr>
          <w:rFonts w:ascii="Cambria" w:hAnsi="Cambria" w:cs="Cambria"/>
          <w:sz w:val="20"/>
          <w:szCs w:val="20"/>
        </w:rPr>
        <w:t xml:space="preserve">), in keeping with the applicable legal provisions. </w:t>
      </w:r>
    </w:p>
    <w:p w14:paraId="39317C3F" w14:textId="77777777" w:rsidR="00C34FDB" w:rsidRPr="007239C0" w:rsidRDefault="00C34FDB" w:rsidP="00F3643E">
      <w:pPr>
        <w:pStyle w:val="paragraph"/>
        <w:spacing w:before="0" w:beforeAutospacing="0" w:after="0" w:afterAutospacing="0"/>
        <w:ind w:left="720" w:right="720"/>
        <w:jc w:val="both"/>
        <w:rPr>
          <w:rFonts w:ascii="Cambria" w:hAnsi="Cambria" w:cs="Cambria"/>
          <w:sz w:val="20"/>
          <w:szCs w:val="20"/>
        </w:rPr>
      </w:pPr>
    </w:p>
    <w:p w14:paraId="3A7842A5"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In providing psychological treatment and psychosocial care, the particular circumstances and needs of each person must be considered, so that they are provided with family and individual treatment according to the agreements reached with each of them and after individual assessments based on respect for autonomy and voluntary access.</w:t>
      </w:r>
    </w:p>
    <w:p w14:paraId="32A191E7"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7B671C36" w14:textId="7217791C"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To ensure their access to comprehensive health care, the beneficiaries of the measures shall be guaranteed timely and quality access to the medicines and treatments required (including physical and mental health) in keeping with the rules governing the SGSSS, and they shall have priorit</w:t>
      </w:r>
      <w:r w:rsidR="00890E0F" w:rsidRPr="00E34EA4">
        <w:rPr>
          <w:rFonts w:ascii="Cambria" w:hAnsi="Cambria" w:cs="Cambria"/>
          <w:sz w:val="20"/>
          <w:szCs w:val="20"/>
        </w:rPr>
        <w:t>y</w:t>
      </w:r>
      <w:r w:rsidRPr="00E34EA4">
        <w:rPr>
          <w:rFonts w:ascii="Cambria" w:hAnsi="Cambria" w:cs="Cambria"/>
          <w:sz w:val="20"/>
          <w:szCs w:val="20"/>
        </w:rPr>
        <w:t xml:space="preserve"> and </w:t>
      </w:r>
      <w:r w:rsidR="00890E0F" w:rsidRPr="00E34EA4">
        <w:rPr>
          <w:rFonts w:ascii="Cambria" w:hAnsi="Cambria" w:cs="Cambria"/>
          <w:sz w:val="20"/>
          <w:szCs w:val="20"/>
        </w:rPr>
        <w:t xml:space="preserve">differential </w:t>
      </w:r>
      <w:r w:rsidRPr="00E34EA4">
        <w:rPr>
          <w:rFonts w:ascii="Cambria" w:hAnsi="Cambria" w:cs="Cambria"/>
          <w:sz w:val="20"/>
          <w:szCs w:val="20"/>
        </w:rPr>
        <w:t>attention by virtue of their status as victims.</w:t>
      </w:r>
    </w:p>
    <w:p w14:paraId="3DB246E4"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7B567BA8"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These measures will be implemented following the signing of the friendly settlement agreement.</w:t>
      </w:r>
      <w:r w:rsidRPr="00E34EA4">
        <w:rPr>
          <w:rFonts w:ascii="Cambria" w:hAnsi="Cambria" w:cs="Cambria"/>
          <w:sz w:val="20"/>
          <w:szCs w:val="20"/>
          <w:vertAlign w:val="superscript"/>
        </w:rPr>
        <w:footnoteReference w:id="10"/>
      </w:r>
    </w:p>
    <w:p w14:paraId="3FD2CC46"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p>
    <w:p w14:paraId="14F3772B" w14:textId="77777777" w:rsidR="00C34FDB" w:rsidRPr="00E34EA4" w:rsidRDefault="00C34FDB" w:rsidP="00F3643E">
      <w:pPr>
        <w:pStyle w:val="paragraph"/>
        <w:spacing w:before="0" w:beforeAutospacing="0" w:after="0" w:afterAutospacing="0"/>
        <w:ind w:left="720" w:right="720"/>
        <w:jc w:val="center"/>
        <w:rPr>
          <w:rFonts w:ascii="Cambria" w:hAnsi="Cambria" w:cs="Cambria"/>
          <w:b/>
          <w:bCs/>
          <w:sz w:val="20"/>
          <w:szCs w:val="20"/>
        </w:rPr>
      </w:pPr>
      <w:r w:rsidRPr="00E34EA4">
        <w:rPr>
          <w:rFonts w:ascii="Cambria" w:hAnsi="Cambria" w:cs="Cambria"/>
          <w:b/>
          <w:bCs/>
          <w:sz w:val="20"/>
          <w:szCs w:val="20"/>
        </w:rPr>
        <w:t xml:space="preserve">PART SEVEN: COMPENSATION MEASURES </w:t>
      </w:r>
    </w:p>
    <w:p w14:paraId="5B2F6903"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7AB1FB34" w14:textId="6EE94693" w:rsidR="00890E0F" w:rsidRPr="00E34EA4" w:rsidRDefault="00890E0F"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The State undertakes to initiate the procedure under Law 288 of 1996 "Whereby instruments are established for the compensation of damages to the victims of human rights violations by virtue of the provisions of certain international human rights bodies". The procedure will be initiated once the present friendly settlement agreement is homologated through the issuance of the Article 49 Report of the American Convention, with the purpose of repairing the damages caused to the relatives of the victims as a consequence of the</w:t>
      </w:r>
      <w:r w:rsidR="007B5F32" w:rsidRPr="00E34EA4">
        <w:rPr>
          <w:rFonts w:ascii="Cambria" w:hAnsi="Cambria" w:cs="Cambria"/>
          <w:sz w:val="20"/>
          <w:szCs w:val="20"/>
        </w:rPr>
        <w:t xml:space="preserve"> effects</w:t>
      </w:r>
      <w:r w:rsidRPr="00E34EA4">
        <w:rPr>
          <w:rFonts w:ascii="Cambria" w:hAnsi="Cambria" w:cs="Cambria"/>
          <w:sz w:val="20"/>
          <w:szCs w:val="20"/>
        </w:rPr>
        <w:t xml:space="preserve"> generated by the facts of the present case.</w:t>
      </w:r>
    </w:p>
    <w:p w14:paraId="5A5BAE7E" w14:textId="57861CC5"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0A41EC39" w14:textId="0F6E503A"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 xml:space="preserve">The National Agency for the Legal Defense of the State shall be the entity in charge of </w:t>
      </w:r>
      <w:r w:rsidR="007B5F32" w:rsidRPr="00E34EA4">
        <w:rPr>
          <w:rFonts w:ascii="Cambria" w:hAnsi="Cambria" w:cs="Cambria"/>
          <w:sz w:val="20"/>
          <w:szCs w:val="20"/>
        </w:rPr>
        <w:t xml:space="preserve">assuming </w:t>
      </w:r>
      <w:r w:rsidRPr="00E34EA4">
        <w:rPr>
          <w:rFonts w:ascii="Cambria" w:hAnsi="Cambria" w:cs="Cambria"/>
          <w:sz w:val="20"/>
          <w:szCs w:val="20"/>
        </w:rPr>
        <w:t>the procedure provided by Law 288 of 1996.</w:t>
      </w:r>
    </w:p>
    <w:p w14:paraId="1E0FEF05"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64516204"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For the purposes of redressing and verifying the harm caused, the criteria and amounts recognized by the current jurisprudence of the Council of State shall be used.</w:t>
      </w:r>
    </w:p>
    <w:p w14:paraId="212A0D12"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6544284E" w14:textId="77777777" w:rsidR="00C34FDB" w:rsidRPr="00E34EA4" w:rsidRDefault="00C34FDB" w:rsidP="00F3643E">
      <w:pPr>
        <w:pStyle w:val="paragraph"/>
        <w:spacing w:before="0" w:beforeAutospacing="0" w:after="0" w:afterAutospacing="0"/>
        <w:ind w:left="720" w:right="720"/>
        <w:jc w:val="center"/>
        <w:rPr>
          <w:rFonts w:ascii="Cambria" w:hAnsi="Cambria" w:cs="Cambria"/>
          <w:b/>
          <w:bCs/>
          <w:sz w:val="20"/>
          <w:szCs w:val="20"/>
        </w:rPr>
      </w:pPr>
      <w:r w:rsidRPr="00E34EA4">
        <w:rPr>
          <w:rFonts w:ascii="Cambria" w:hAnsi="Cambria" w:cs="Cambria"/>
          <w:b/>
          <w:bCs/>
          <w:sz w:val="20"/>
          <w:szCs w:val="20"/>
        </w:rPr>
        <w:t xml:space="preserve">PART SEVEN: APPROVAL AND MONITORING </w:t>
      </w:r>
    </w:p>
    <w:p w14:paraId="02CB1E18"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454E2575"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The parties request that the Inter-American Commission approve and monitor this Agreement.</w:t>
      </w:r>
    </w:p>
    <w:p w14:paraId="61FFCFD2" w14:textId="77777777" w:rsidR="00C34FDB" w:rsidRPr="00E34EA4" w:rsidRDefault="00C34FDB" w:rsidP="00F3643E">
      <w:pPr>
        <w:pStyle w:val="paragraph"/>
        <w:spacing w:before="0" w:beforeAutospacing="0" w:after="0" w:afterAutospacing="0"/>
        <w:ind w:left="720" w:right="720"/>
        <w:jc w:val="both"/>
        <w:rPr>
          <w:rFonts w:ascii="Cambria" w:hAnsi="Cambria" w:cs="Cambria"/>
          <w:sz w:val="20"/>
          <w:szCs w:val="20"/>
        </w:rPr>
      </w:pPr>
    </w:p>
    <w:p w14:paraId="2DD4A5B9"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r w:rsidRPr="00E34EA4">
        <w:rPr>
          <w:rFonts w:ascii="Cambria" w:hAnsi="Cambria" w:cs="Cambria"/>
          <w:sz w:val="20"/>
          <w:szCs w:val="20"/>
        </w:rPr>
        <w:t>The parties, having read this Agreement and being aware of its scope and legal content, hereby sign it on July 26, 2022.</w:t>
      </w:r>
    </w:p>
    <w:p w14:paraId="51E67C67"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rPr>
      </w:pPr>
    </w:p>
    <w:p w14:paraId="123F5F3A" w14:textId="77777777" w:rsidR="00C34FDB" w:rsidRPr="00F31EB3" w:rsidRDefault="00C34FDB" w:rsidP="004E1315">
      <w:pPr>
        <w:pStyle w:val="List"/>
        <w:numPr>
          <w:ilvl w:val="0"/>
          <w:numId w:val="51"/>
        </w:numPr>
        <w:pBdr>
          <w:top w:val="none" w:sz="0" w:space="0" w:color="auto"/>
          <w:left w:val="none" w:sz="0" w:space="0" w:color="auto"/>
          <w:bottom w:val="none" w:sz="0" w:space="0" w:color="auto"/>
          <w:right w:val="none" w:sz="0" w:space="0" w:color="auto"/>
          <w:bar w:val="none" w:sz="0" w:color="auto"/>
        </w:pBdr>
        <w:ind w:left="0" w:firstLine="720"/>
        <w:jc w:val="both"/>
        <w:rPr>
          <w:b/>
          <w:bCs/>
          <w:sz w:val="20"/>
          <w:szCs w:val="20"/>
        </w:rPr>
      </w:pPr>
      <w:r w:rsidRPr="00F31EB3">
        <w:rPr>
          <w:rFonts w:eastAsia="MS Mincho"/>
          <w:b/>
          <w:bCs/>
          <w:sz w:val="20"/>
          <w:szCs w:val="20"/>
        </w:rPr>
        <w:t xml:space="preserve">DETERMINATION OF COMPATIBILITY AND COMPLIANCE </w:t>
      </w:r>
    </w:p>
    <w:p w14:paraId="2434E573"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b/>
          <w:bCs/>
          <w:sz w:val="20"/>
          <w:szCs w:val="20"/>
        </w:rPr>
      </w:pPr>
    </w:p>
    <w:p w14:paraId="1C533B28" w14:textId="77777777" w:rsidR="00C34FDB" w:rsidRPr="00F31EB3" w:rsidRDefault="00C34FDB" w:rsidP="004E1315">
      <w:pPr>
        <w:pStyle w:val="List"/>
        <w:numPr>
          <w:ilvl w:val="0"/>
          <w:numId w:val="52"/>
        </w:numPr>
        <w:pBdr>
          <w:top w:val="none" w:sz="0" w:space="0" w:color="auto"/>
          <w:left w:val="none" w:sz="0" w:space="0" w:color="auto"/>
          <w:bottom w:val="none" w:sz="0" w:space="0" w:color="auto"/>
          <w:right w:val="none" w:sz="0" w:space="0" w:color="auto"/>
          <w:bar w:val="none" w:sz="0" w:color="auto"/>
        </w:pBdr>
        <w:ind w:left="0" w:firstLine="720"/>
        <w:jc w:val="both"/>
        <w:rPr>
          <w:rFonts w:eastAsia="MS Mincho"/>
          <w:sz w:val="20"/>
          <w:szCs w:val="20"/>
        </w:rPr>
      </w:pPr>
      <w:r w:rsidRPr="00F31EB3">
        <w:rPr>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F31EB3">
        <w:rPr>
          <w:i/>
          <w:iCs/>
          <w:sz w:val="20"/>
          <w:szCs w:val="20"/>
          <w:bdr w:val="none" w:sz="0" w:space="0" w:color="auto" w:frame="1"/>
        </w:rPr>
        <w:t>pacta sunt servanda</w:t>
      </w:r>
      <w:r w:rsidRPr="00F31EB3">
        <w:rPr>
          <w:sz w:val="20"/>
          <w:szCs w:val="20"/>
          <w:bdr w:val="none" w:sz="0" w:space="0" w:color="auto" w:frame="1"/>
        </w:rPr>
        <w:t>, by which States must comply with the obligations assumed in the treaties in good faith.</w:t>
      </w:r>
      <w:r w:rsidRPr="00F31EB3">
        <w:rPr>
          <w:sz w:val="20"/>
          <w:szCs w:val="20"/>
          <w:bdr w:val="none" w:sz="0" w:space="0" w:color="auto" w:frame="1"/>
          <w:vertAlign w:val="superscript"/>
        </w:rPr>
        <w:footnoteReference w:id="11"/>
      </w:r>
      <w:r w:rsidRPr="00F31EB3">
        <w:rPr>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401120DC"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sz w:val="20"/>
          <w:szCs w:val="20"/>
          <w:bdr w:val="none" w:sz="0" w:space="0" w:color="auto" w:frame="1"/>
        </w:rPr>
      </w:pPr>
    </w:p>
    <w:p w14:paraId="7569DC8D" w14:textId="3078BBBF" w:rsidR="007B5F32" w:rsidRPr="00A77F94" w:rsidRDefault="00C34FDB" w:rsidP="00581261">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A77F94">
        <w:rPr>
          <w:rFonts w:ascii="Cambria" w:hAnsi="Cambria" w:cs="Cambria"/>
          <w:color w:val="000000"/>
          <w:sz w:val="20"/>
          <w:szCs w:val="20"/>
        </w:rPr>
        <w:t xml:space="preserve">The Inter-American Commission has closely followed the development of the friendly settlement reached in this case and it </w:t>
      </w:r>
      <w:r w:rsidR="007B5F32" w:rsidRPr="00A77F94">
        <w:rPr>
          <w:rFonts w:ascii="Cambria" w:hAnsi="Cambria" w:cs="Cambria"/>
          <w:color w:val="000000"/>
          <w:sz w:val="20"/>
          <w:szCs w:val="20"/>
        </w:rPr>
        <w:t xml:space="preserve">appreciates </w:t>
      </w:r>
      <w:r w:rsidRPr="00A77F94">
        <w:rPr>
          <w:rFonts w:ascii="Cambria" w:hAnsi="Cambria" w:cs="Cambria"/>
          <w:color w:val="000000"/>
          <w:sz w:val="20"/>
          <w:szCs w:val="20"/>
        </w:rPr>
        <w:t>the efforts made by both parties during the negotiations toward this friendly settlement agreement, which is compatible with the object and purpose of the Convention.</w:t>
      </w:r>
    </w:p>
    <w:p w14:paraId="16971DAA" w14:textId="77777777" w:rsidR="00C34FDB" w:rsidRPr="00A77F94" w:rsidRDefault="00C34FDB" w:rsidP="00F3643E">
      <w:pPr>
        <w:pStyle w:val="paragraph"/>
        <w:spacing w:before="0" w:beforeAutospacing="0" w:after="0" w:afterAutospacing="0"/>
        <w:ind w:left="720"/>
        <w:jc w:val="both"/>
        <w:textAlignment w:val="baseline"/>
        <w:rPr>
          <w:rFonts w:ascii="Cambria" w:hAnsi="Cambria" w:cs="Cambria"/>
          <w:sz w:val="20"/>
          <w:szCs w:val="20"/>
        </w:rPr>
      </w:pPr>
    </w:p>
    <w:p w14:paraId="3E59D04F" w14:textId="54080C7F" w:rsidR="00C34FDB" w:rsidRPr="00A77F94"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A77F94">
        <w:rPr>
          <w:rFonts w:ascii="Cambria" w:hAnsi="Cambria" w:cs="Cambria"/>
          <w:sz w:val="20"/>
          <w:szCs w:val="20"/>
        </w:rPr>
        <w:t xml:space="preserve">In accordance with the agreement signed by the parties in which they requested that the Commission approve the friendly settlement agreement as provided for in Article 49 of the American Convention, and taking into consideration the parties’ request </w:t>
      </w:r>
      <w:r w:rsidR="007B5F32" w:rsidRPr="00A77F94">
        <w:rPr>
          <w:rFonts w:ascii="Cambria" w:hAnsi="Cambria" w:cs="Cambria"/>
          <w:sz w:val="20"/>
          <w:szCs w:val="20"/>
        </w:rPr>
        <w:t xml:space="preserve">of </w:t>
      </w:r>
      <w:r w:rsidRPr="00A77F94">
        <w:rPr>
          <w:rFonts w:ascii="Cambria" w:hAnsi="Cambria" w:cs="Cambria"/>
          <w:sz w:val="20"/>
          <w:szCs w:val="20"/>
        </w:rPr>
        <w:t xml:space="preserve">October 31, 2022, </w:t>
      </w:r>
      <w:r w:rsidR="007B5F32" w:rsidRPr="00A77F94">
        <w:rPr>
          <w:rFonts w:ascii="Cambria" w:hAnsi="Cambria" w:cs="Cambria"/>
          <w:sz w:val="20"/>
          <w:szCs w:val="20"/>
        </w:rPr>
        <w:t xml:space="preserve">to move forward in this regard, </w:t>
      </w:r>
      <w:r w:rsidRPr="00A77F94">
        <w:rPr>
          <w:rFonts w:ascii="Cambria" w:hAnsi="Cambria" w:cs="Cambria"/>
          <w:sz w:val="20"/>
          <w:szCs w:val="20"/>
        </w:rPr>
        <w:t xml:space="preserve">it is appropriate at this </w:t>
      </w:r>
      <w:r w:rsidR="007B5F32" w:rsidRPr="00A77F94">
        <w:rPr>
          <w:rFonts w:ascii="Cambria" w:hAnsi="Cambria" w:cs="Cambria"/>
          <w:sz w:val="20"/>
          <w:szCs w:val="20"/>
        </w:rPr>
        <w:t xml:space="preserve">time </w:t>
      </w:r>
      <w:r w:rsidRPr="00A77F94">
        <w:rPr>
          <w:rFonts w:ascii="Cambria" w:hAnsi="Cambria" w:cs="Cambria"/>
          <w:sz w:val="20"/>
          <w:szCs w:val="20"/>
        </w:rPr>
        <w:t>to assess compliance with the commitments set forth in the agreement.</w:t>
      </w:r>
    </w:p>
    <w:p w14:paraId="16994077" w14:textId="77777777" w:rsidR="00C34FDB" w:rsidRPr="00A77F94" w:rsidRDefault="00C34FDB" w:rsidP="00F3643E">
      <w:pPr>
        <w:pStyle w:val="paragraph"/>
        <w:spacing w:before="0" w:beforeAutospacing="0" w:after="0" w:afterAutospacing="0"/>
        <w:ind w:left="720"/>
        <w:jc w:val="both"/>
        <w:textAlignment w:val="baseline"/>
        <w:rPr>
          <w:rFonts w:ascii="Cambria" w:hAnsi="Cambria" w:cs="Cambria"/>
          <w:sz w:val="20"/>
          <w:szCs w:val="20"/>
        </w:rPr>
      </w:pPr>
    </w:p>
    <w:p w14:paraId="104ADFF0" w14:textId="41ABD41E" w:rsidR="00C34FDB" w:rsidRPr="00A77F94"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A77F94">
        <w:rPr>
          <w:rFonts w:ascii="Cambria" w:hAnsi="Cambria" w:cs="Cambria"/>
          <w:sz w:val="20"/>
          <w:szCs w:val="20"/>
        </w:rPr>
        <w:t>The Inter-American Commission finds that clauses one (“Definitions”), two (“Background”), three (“Beneficiaries”), and four (“Acknowledgment of Responsibility”) of the agreement are declarative in nature</w:t>
      </w:r>
      <w:r w:rsidR="007B5F32" w:rsidRPr="00A77F94">
        <w:rPr>
          <w:rFonts w:ascii="Cambria" w:hAnsi="Cambria" w:cs="Cambria"/>
          <w:sz w:val="20"/>
          <w:szCs w:val="20"/>
        </w:rPr>
        <w:t>, and therefore it is not appropriate to supervise their compliance</w:t>
      </w:r>
      <w:r w:rsidRPr="00A77F94">
        <w:rPr>
          <w:rFonts w:ascii="Cambria" w:hAnsi="Cambria" w:cs="Cambria"/>
          <w:sz w:val="20"/>
          <w:szCs w:val="20"/>
        </w:rPr>
        <w:t xml:space="preserve">. Nevertheless, the Commission </w:t>
      </w:r>
      <w:r w:rsidR="007B5F32" w:rsidRPr="00A77F94">
        <w:rPr>
          <w:rFonts w:ascii="Cambria" w:hAnsi="Cambria" w:cs="Cambria"/>
          <w:sz w:val="20"/>
          <w:szCs w:val="20"/>
        </w:rPr>
        <w:t xml:space="preserve">values </w:t>
      </w:r>
      <w:r w:rsidRPr="00A77F94">
        <w:rPr>
          <w:rFonts w:ascii="Cambria" w:hAnsi="Cambria" w:cs="Cambria"/>
          <w:sz w:val="20"/>
          <w:szCs w:val="20"/>
        </w:rPr>
        <w:t xml:space="preserve">the fourth declarative clause, in which the Colombian State recognizes its international responsibility by omission for the violation of the rights protected by Articles 8 (fair trial) and 25 (judicial protection) of the American Convention, in conjunction with Article 1(1) thereof (obligation to respect rights), with respect to the family of Mr. Teobaldo Enrique Martínez Fuentes through the lack of diligence in investigating the facts that occurred, which resulted in the failure to identify, prosecute, and punish the perpetrators of his murder. </w:t>
      </w:r>
    </w:p>
    <w:p w14:paraId="237DB156" w14:textId="77777777" w:rsidR="00C34FDB" w:rsidRPr="00A77F94" w:rsidRDefault="00C34FDB" w:rsidP="00F3643E">
      <w:pPr>
        <w:pStyle w:val="paragraph"/>
        <w:spacing w:before="0" w:beforeAutospacing="0" w:after="0" w:afterAutospacing="0"/>
        <w:ind w:left="720"/>
        <w:jc w:val="both"/>
        <w:textAlignment w:val="baseline"/>
        <w:rPr>
          <w:rFonts w:ascii="Cambria" w:hAnsi="Cambria" w:cs="Cambria"/>
          <w:sz w:val="20"/>
          <w:szCs w:val="20"/>
        </w:rPr>
      </w:pPr>
    </w:p>
    <w:p w14:paraId="2808FE18" w14:textId="104810CA" w:rsidR="00C34FDB" w:rsidRPr="00A77F94"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A77F94">
        <w:rPr>
          <w:rFonts w:ascii="Cambria" w:hAnsi="Cambria" w:cs="Cambria"/>
          <w:sz w:val="20"/>
          <w:szCs w:val="20"/>
        </w:rPr>
        <w:t xml:space="preserve">Regarding </w:t>
      </w:r>
      <w:r w:rsidR="00DA3269" w:rsidRPr="00A77F94">
        <w:rPr>
          <w:rFonts w:ascii="Cambria" w:hAnsi="Cambria" w:cs="Cambria"/>
          <w:sz w:val="20"/>
          <w:szCs w:val="20"/>
        </w:rPr>
        <w:t>section</w:t>
      </w:r>
      <w:r w:rsidR="007B5F32" w:rsidRPr="00A77F94">
        <w:rPr>
          <w:rFonts w:ascii="Cambria" w:hAnsi="Cambria" w:cs="Cambria"/>
          <w:sz w:val="20"/>
          <w:szCs w:val="20"/>
        </w:rPr>
        <w:t xml:space="preserve"> </w:t>
      </w:r>
      <w:r w:rsidRPr="00A77F94">
        <w:rPr>
          <w:rFonts w:ascii="Cambria" w:hAnsi="Cambria" w:cs="Cambria"/>
          <w:sz w:val="20"/>
          <w:szCs w:val="20"/>
        </w:rPr>
        <w:t xml:space="preserve">(i), </w:t>
      </w:r>
      <w:r w:rsidRPr="00A77F94">
        <w:rPr>
          <w:rFonts w:ascii="Cambria" w:hAnsi="Cambria" w:cs="Cambria"/>
          <w:i/>
          <w:iCs/>
          <w:sz w:val="20"/>
          <w:szCs w:val="20"/>
        </w:rPr>
        <w:t>Act of Acknowledgment of Responsibility</w:t>
      </w:r>
      <w:r w:rsidRPr="00A77F94">
        <w:rPr>
          <w:rFonts w:ascii="Cambria" w:hAnsi="Cambria" w:cs="Cambria"/>
          <w:sz w:val="20"/>
          <w:szCs w:val="20"/>
        </w:rPr>
        <w:t>, of clause five (“Satisfaction Measures”), following the signing of the FSA the parties jointly reported that the</w:t>
      </w:r>
      <w:r w:rsidR="006E2829" w:rsidRPr="00A77F94">
        <w:rPr>
          <w:rFonts w:ascii="Cambria" w:hAnsi="Cambria" w:cs="Cambria"/>
          <w:sz w:val="20"/>
          <w:szCs w:val="20"/>
        </w:rPr>
        <w:t>y agreed that the nature of said act</w:t>
      </w:r>
      <w:r w:rsidRPr="00A77F94">
        <w:rPr>
          <w:rFonts w:ascii="Cambria" w:hAnsi="Cambria" w:cs="Cambria"/>
          <w:sz w:val="20"/>
          <w:szCs w:val="20"/>
        </w:rPr>
        <w:t xml:space="preserve"> would be private and that it duly took place on September 22, 2022. The parties reported the existence of permanent, fluid communications between the State and the petitioners, who agreed on each of the details for the fulfillment of the measure, including the date, time, agenda, and logistics required for it to take place. The parties also </w:t>
      </w:r>
      <w:r w:rsidR="007B5F32" w:rsidRPr="00A77F94">
        <w:rPr>
          <w:rFonts w:ascii="Cambria" w:hAnsi="Cambria" w:cs="Cambria"/>
          <w:sz w:val="20"/>
          <w:szCs w:val="20"/>
        </w:rPr>
        <w:t xml:space="preserve">provided </w:t>
      </w:r>
      <w:r w:rsidRPr="00A77F94">
        <w:rPr>
          <w:rFonts w:ascii="Cambria" w:hAnsi="Cambria" w:cs="Cambria"/>
          <w:sz w:val="20"/>
          <w:szCs w:val="20"/>
        </w:rPr>
        <w:t>a simple copy of two images of the event, which was attended by the victim’s relatives and their representative and by the National Agency for the Legal Defense of the State.</w:t>
      </w:r>
    </w:p>
    <w:p w14:paraId="7C08ADFD" w14:textId="77777777" w:rsidR="00C34FDB" w:rsidRPr="00A77F94" w:rsidRDefault="00C34FDB" w:rsidP="00F3643E">
      <w:pPr>
        <w:pStyle w:val="paragraph"/>
        <w:spacing w:before="0" w:beforeAutospacing="0" w:after="0" w:afterAutospacing="0"/>
        <w:ind w:left="720"/>
        <w:jc w:val="both"/>
        <w:textAlignment w:val="baseline"/>
        <w:rPr>
          <w:rFonts w:ascii="Cambria" w:hAnsi="Cambria" w:cs="Cambria"/>
          <w:sz w:val="20"/>
          <w:szCs w:val="20"/>
        </w:rPr>
      </w:pPr>
    </w:p>
    <w:p w14:paraId="7407C9DA" w14:textId="464679DF" w:rsidR="00C34FDB" w:rsidRPr="00A77F94" w:rsidRDefault="006E2829"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A77F94">
        <w:rPr>
          <w:rFonts w:ascii="Cambria" w:hAnsi="Cambria" w:cs="Cambria"/>
          <w:sz w:val="20"/>
          <w:szCs w:val="20"/>
        </w:rPr>
        <w:t>Likewise</w:t>
      </w:r>
      <w:r w:rsidR="00C34FDB" w:rsidRPr="00A77F94">
        <w:rPr>
          <w:rFonts w:ascii="Cambria" w:hAnsi="Cambria" w:cs="Cambria"/>
          <w:sz w:val="20"/>
          <w:szCs w:val="20"/>
        </w:rPr>
        <w:t xml:space="preserve">, the parties reported on the contents of the agenda agreed </w:t>
      </w:r>
      <w:r w:rsidRPr="00A77F94">
        <w:rPr>
          <w:rFonts w:ascii="Cambria" w:hAnsi="Cambria" w:cs="Cambria"/>
          <w:sz w:val="20"/>
          <w:szCs w:val="20"/>
        </w:rPr>
        <w:t>up</w:t>
      </w:r>
      <w:r w:rsidR="00C34FDB" w:rsidRPr="00A77F94">
        <w:rPr>
          <w:rFonts w:ascii="Cambria" w:hAnsi="Cambria" w:cs="Cambria"/>
          <w:sz w:val="20"/>
          <w:szCs w:val="20"/>
        </w:rPr>
        <w:t>on for the event, which included an opening ceremony, the Colombian national anthem, the projection of a video in memory of Mr. Teobaldo Enrique Martínez Fuentes, and addresses by Ms. Yadira Luz Martínez Fuentes, the victim’s sister, and by Mr. Narciso Guerra, the victims’ representative. The State’s intervention was made by the ANDJE Director of International Legal Defense, who asked for forgiveness from the victims and their families for what had happened and acknowledged the State’s responsibility under the terms set forth in the friendly settlement agreement signed between the parties</w:t>
      </w:r>
      <w:r w:rsidRPr="00A77F94">
        <w:rPr>
          <w:rFonts w:ascii="Cambria" w:hAnsi="Cambria" w:cs="Cambria"/>
          <w:sz w:val="20"/>
          <w:szCs w:val="20"/>
        </w:rPr>
        <w:t>, stating</w:t>
      </w:r>
      <w:r w:rsidR="00C34FDB" w:rsidRPr="00A77F94">
        <w:rPr>
          <w:rFonts w:ascii="Cambria" w:hAnsi="Cambria" w:cs="Cambria"/>
          <w:sz w:val="20"/>
          <w:szCs w:val="20"/>
        </w:rPr>
        <w:t xml:space="preserve"> the following:</w:t>
      </w:r>
    </w:p>
    <w:p w14:paraId="69D7B5A4" w14:textId="77777777" w:rsidR="00C34FDB" w:rsidRPr="00A77F94" w:rsidRDefault="00C34FDB" w:rsidP="00F3643E">
      <w:pPr>
        <w:pStyle w:val="paragraph"/>
        <w:spacing w:before="0" w:beforeAutospacing="0" w:after="0" w:afterAutospacing="0"/>
        <w:jc w:val="both"/>
        <w:textAlignment w:val="baseline"/>
        <w:rPr>
          <w:rFonts w:ascii="Cambria" w:hAnsi="Cambria" w:cs="Cambria"/>
          <w:sz w:val="20"/>
          <w:szCs w:val="20"/>
        </w:rPr>
      </w:pPr>
    </w:p>
    <w:p w14:paraId="136041C0"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r w:rsidRPr="00A77F94">
        <w:rPr>
          <w:rFonts w:ascii="Cambria" w:hAnsi="Cambria" w:cs="Cambria"/>
          <w:sz w:val="20"/>
          <w:szCs w:val="20"/>
        </w:rPr>
        <w:t>[…]</w:t>
      </w:r>
    </w:p>
    <w:p w14:paraId="6EC72F2D"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p>
    <w:p w14:paraId="6A69B5AD" w14:textId="73CB4D92"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r w:rsidRPr="00A77F94">
        <w:rPr>
          <w:rFonts w:ascii="Cambria" w:hAnsi="Cambria" w:cs="Cambria"/>
          <w:sz w:val="20"/>
          <w:szCs w:val="20"/>
        </w:rPr>
        <w:t xml:space="preserve">On behalf of the State of Colombia and as Director </w:t>
      </w:r>
      <w:r w:rsidR="00195FC3" w:rsidRPr="00A77F94">
        <w:rPr>
          <w:rFonts w:ascii="Cambria" w:hAnsi="Cambria" w:cs="Cambria"/>
          <w:sz w:val="20"/>
          <w:szCs w:val="20"/>
        </w:rPr>
        <w:t xml:space="preserve">General </w:t>
      </w:r>
      <w:r w:rsidRPr="00A77F94">
        <w:rPr>
          <w:rFonts w:ascii="Cambria" w:hAnsi="Cambria" w:cs="Cambria"/>
          <w:sz w:val="20"/>
          <w:szCs w:val="20"/>
        </w:rPr>
        <w:t>of the National Agency for the Legal Defense of the State, it is an honor to be with you today</w:t>
      </w:r>
      <w:r w:rsidR="00A77F94">
        <w:rPr>
          <w:rFonts w:ascii="Cambria" w:hAnsi="Cambria" w:cs="Cambria"/>
          <w:sz w:val="20"/>
          <w:szCs w:val="20"/>
        </w:rPr>
        <w:t>,</w:t>
      </w:r>
      <w:r w:rsidRPr="00A77F94">
        <w:rPr>
          <w:rFonts w:ascii="Cambria" w:hAnsi="Cambria" w:cs="Cambria"/>
          <w:sz w:val="20"/>
          <w:szCs w:val="20"/>
        </w:rPr>
        <w:t xml:space="preserve"> not only to acknowledge the responsibility of the State in this painful event, but also to honor the memory of Mr. Teobaldo Enrique Martínez Fuentes who, on March 14, 1998, was the victim of homicide on the outskirts of the village of El Plan in the municipality of La Jagua del Pilar, La Guajira department. </w:t>
      </w:r>
    </w:p>
    <w:p w14:paraId="746B9013" w14:textId="77777777" w:rsidR="00C34FDB" w:rsidRPr="00F31EB3" w:rsidRDefault="00C34FDB" w:rsidP="00F3643E">
      <w:pPr>
        <w:pStyle w:val="paragraph"/>
        <w:spacing w:before="0" w:beforeAutospacing="0" w:after="0" w:afterAutospacing="0"/>
        <w:ind w:left="720" w:right="720"/>
        <w:jc w:val="both"/>
        <w:rPr>
          <w:rFonts w:ascii="Cambria" w:hAnsi="Cambria" w:cs="Cambria"/>
          <w:sz w:val="20"/>
          <w:szCs w:val="20"/>
          <w:highlight w:val="yellow"/>
        </w:rPr>
      </w:pPr>
    </w:p>
    <w:p w14:paraId="5D832E20"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r w:rsidRPr="00A77F94">
        <w:rPr>
          <w:rFonts w:ascii="Cambria" w:hAnsi="Cambria" w:cs="Cambria"/>
          <w:sz w:val="20"/>
          <w:szCs w:val="20"/>
        </w:rPr>
        <w:t>[…]</w:t>
      </w:r>
    </w:p>
    <w:p w14:paraId="0C8D59F8"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p>
    <w:p w14:paraId="25C1387E"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r w:rsidRPr="00A77F94">
        <w:rPr>
          <w:rFonts w:ascii="Cambria" w:hAnsi="Cambria" w:cs="Cambria"/>
          <w:sz w:val="20"/>
          <w:szCs w:val="20"/>
        </w:rPr>
        <w:t>Taking into account the time that elapsed before the investigation was opened and the fact that the proceedings have since been archived, the Colombian State acknowledges its responsibility for the lack of due diligence in the investigation of the events of March 14, 1998, which resulted in the failure to identify, prosecute, and punish the perpetrators of Mr. Teobaldo Enrique Martínez Fuentes’s murder. This is even more keenly true because the Colombian State was under the obligation to investigate, prosecute, and punish those responsible, which did not happen in this case and which caused immense pain and irreparable consequences for the members of Mr. Teobaldo Enrique Martínez Fuentes’s family. </w:t>
      </w:r>
    </w:p>
    <w:p w14:paraId="00A0F280"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p>
    <w:p w14:paraId="3983B8DF" w14:textId="77777777" w:rsidR="00C34FDB" w:rsidRPr="00A77F94" w:rsidRDefault="00C34FDB" w:rsidP="00F3643E">
      <w:pPr>
        <w:pStyle w:val="paragraph"/>
        <w:spacing w:before="0" w:beforeAutospacing="0" w:after="0" w:afterAutospacing="0"/>
        <w:ind w:left="720" w:right="720"/>
        <w:jc w:val="both"/>
        <w:rPr>
          <w:rFonts w:ascii="Cambria" w:hAnsi="Cambria" w:cs="Cambria"/>
          <w:sz w:val="20"/>
          <w:szCs w:val="20"/>
        </w:rPr>
      </w:pPr>
      <w:r w:rsidRPr="00A77F94">
        <w:rPr>
          <w:rFonts w:ascii="Cambria" w:hAnsi="Cambria" w:cs="Cambria"/>
          <w:sz w:val="20"/>
          <w:szCs w:val="20"/>
        </w:rPr>
        <w:t>It is precisely in recognition of the harm inflicted on Mr. Teobaldo Enrique Martínez Fuentes’s family that today the State is asking for their forgiveness. Thus, in my capacity as Director General of the National Agency for the Legal Defense of the State and in compliance with one of the measures agreed on in the Friendly Settlement Agreement signed on July 26, 2022, I acknowledge the international responsibility of the Colombian State by omission for the violation of the rights enshrined in Articles 8 (right to a fair trial) and 25 (right to judicial protection) of the American Convention on Human Rights, in conjunction with Article 1(1) thereof (obligation to respect rights), with respect to the family of Mr. Teobaldo Enrique Martínez Fuentes through the lack of diligence in the investigation of the events that occurred, which resulted in the failure to identify, prosecute, and punish the perpetrators of his murder. […]</w:t>
      </w:r>
    </w:p>
    <w:p w14:paraId="0D58087A" w14:textId="77777777" w:rsidR="00C34FDB" w:rsidRPr="00F31EB3" w:rsidRDefault="00C34FDB" w:rsidP="00F3643E">
      <w:pPr>
        <w:pStyle w:val="paragraph"/>
        <w:spacing w:before="0" w:beforeAutospacing="0" w:after="0" w:afterAutospacing="0"/>
        <w:jc w:val="both"/>
        <w:textAlignment w:val="baseline"/>
        <w:rPr>
          <w:rFonts w:ascii="Cambria" w:hAnsi="Cambria" w:cs="Cambria"/>
          <w:sz w:val="20"/>
          <w:szCs w:val="20"/>
          <w:highlight w:val="yellow"/>
        </w:rPr>
      </w:pPr>
    </w:p>
    <w:p w14:paraId="0549D783" w14:textId="77777777" w:rsidR="00C34FDB" w:rsidRPr="00195FC3" w:rsidRDefault="00C34FDB" w:rsidP="00004B67">
      <w:pPr>
        <w:pStyle w:val="paragraph"/>
        <w:numPr>
          <w:ilvl w:val="0"/>
          <w:numId w:val="52"/>
        </w:numPr>
        <w:spacing w:before="0" w:beforeAutospacing="0" w:after="0" w:afterAutospacing="0"/>
        <w:ind w:left="0" w:firstLine="709"/>
        <w:jc w:val="both"/>
        <w:textAlignment w:val="baseline"/>
        <w:rPr>
          <w:rFonts w:ascii="Cambria" w:hAnsi="Cambria" w:cs="Cambria"/>
          <w:color w:val="000000"/>
          <w:sz w:val="20"/>
          <w:szCs w:val="20"/>
        </w:rPr>
      </w:pPr>
      <w:r w:rsidRPr="00195FC3">
        <w:rPr>
          <w:rFonts w:ascii="Cambria" w:hAnsi="Cambria" w:cs="Cambria"/>
          <w:sz w:val="20"/>
          <w:szCs w:val="20"/>
        </w:rPr>
        <w:t xml:space="preserve">In turn, Commissioner Joel Hernández, the IACHR’s Rapporteur for Colombia, offered the following remarks: </w:t>
      </w:r>
    </w:p>
    <w:p w14:paraId="7CDD6FFD" w14:textId="77777777" w:rsidR="00C34FDB" w:rsidRPr="00195FC3" w:rsidRDefault="00C34FDB" w:rsidP="00004B67">
      <w:pPr>
        <w:pStyle w:val="paragraph"/>
        <w:spacing w:before="0" w:beforeAutospacing="0" w:after="0" w:afterAutospacing="0"/>
        <w:jc w:val="both"/>
        <w:textAlignment w:val="baseline"/>
        <w:rPr>
          <w:rFonts w:ascii="Cambria" w:hAnsi="Cambria" w:cs="Cambria"/>
          <w:color w:val="000000"/>
          <w:sz w:val="20"/>
          <w:szCs w:val="20"/>
        </w:rPr>
      </w:pPr>
    </w:p>
    <w:p w14:paraId="561E2DFA" w14:textId="77777777" w:rsidR="00C34FDB" w:rsidRPr="00195FC3" w:rsidRDefault="00C34FDB" w:rsidP="00004B67">
      <w:pPr>
        <w:pStyle w:val="paragraph"/>
        <w:spacing w:before="0" w:beforeAutospacing="0" w:after="0" w:afterAutospacing="0"/>
        <w:ind w:left="709"/>
        <w:jc w:val="both"/>
        <w:textAlignment w:val="baseline"/>
        <w:rPr>
          <w:rFonts w:ascii="Cambria" w:hAnsi="Cambria" w:cs="Cambria"/>
          <w:sz w:val="20"/>
          <w:szCs w:val="20"/>
          <w:u w:color="000000"/>
        </w:rPr>
      </w:pPr>
      <w:r w:rsidRPr="00195FC3">
        <w:rPr>
          <w:rFonts w:ascii="Cambria" w:hAnsi="Cambria" w:cs="Cambria"/>
          <w:sz w:val="20"/>
          <w:szCs w:val="20"/>
          <w:u w:color="000000"/>
        </w:rPr>
        <w:t xml:space="preserve">[…] </w:t>
      </w:r>
    </w:p>
    <w:p w14:paraId="5ED6AD67" w14:textId="77777777" w:rsidR="00C34FDB" w:rsidRPr="00195FC3" w:rsidRDefault="00C34FDB" w:rsidP="00004B67">
      <w:pPr>
        <w:pStyle w:val="paragraph"/>
        <w:spacing w:before="0" w:beforeAutospacing="0" w:after="0" w:afterAutospacing="0"/>
        <w:ind w:left="709"/>
        <w:jc w:val="both"/>
        <w:textAlignment w:val="baseline"/>
        <w:rPr>
          <w:rFonts w:ascii="Cambria" w:hAnsi="Cambria" w:cs="Cambria"/>
          <w:sz w:val="20"/>
          <w:szCs w:val="20"/>
          <w:u w:color="000000"/>
        </w:rPr>
      </w:pPr>
    </w:p>
    <w:p w14:paraId="6CC74399" w14:textId="18BE349C" w:rsidR="00C34FDB" w:rsidRPr="00195FC3" w:rsidRDefault="00C34FDB" w:rsidP="003726D6">
      <w:pPr>
        <w:pStyle w:val="paragraph"/>
        <w:spacing w:before="0" w:beforeAutospacing="0" w:after="0" w:afterAutospacing="0"/>
        <w:ind w:left="709" w:right="720"/>
        <w:jc w:val="both"/>
        <w:textAlignment w:val="baseline"/>
        <w:rPr>
          <w:rFonts w:ascii="Cambria" w:hAnsi="Cambria" w:cs="Cambria"/>
          <w:sz w:val="20"/>
          <w:szCs w:val="20"/>
          <w:u w:color="000000"/>
        </w:rPr>
      </w:pPr>
      <w:r w:rsidRPr="00195FC3">
        <w:rPr>
          <w:rFonts w:ascii="Cambria" w:hAnsi="Cambria" w:cs="Cambria"/>
          <w:sz w:val="20"/>
          <w:szCs w:val="20"/>
          <w:u w:color="000000"/>
        </w:rPr>
        <w:t>The facts of the case that have brought us together today relate to the failure to investigate his murder on March 14, 1998. This traumatic event left his family in mourning and, faced with an absence of answers in their search for the truth,</w:t>
      </w:r>
      <w:r w:rsidR="00DA3269" w:rsidRPr="00195FC3">
        <w:t xml:space="preserve"> </w:t>
      </w:r>
      <w:r w:rsidR="00DA3269" w:rsidRPr="00195FC3">
        <w:rPr>
          <w:rFonts w:ascii="Cambria" w:hAnsi="Cambria" w:cs="Cambria"/>
          <w:sz w:val="20"/>
          <w:szCs w:val="20"/>
          <w:u w:color="000000"/>
        </w:rPr>
        <w:t xml:space="preserve">turned to the system of petitions and individual cases before the Inter-American system.  </w:t>
      </w:r>
    </w:p>
    <w:p w14:paraId="33793619" w14:textId="77777777" w:rsidR="00C34FDB" w:rsidRPr="00195FC3" w:rsidRDefault="00C34FDB" w:rsidP="00004B67">
      <w:pPr>
        <w:pStyle w:val="paragraph"/>
        <w:spacing w:before="0" w:beforeAutospacing="0" w:after="0" w:afterAutospacing="0"/>
        <w:ind w:left="709"/>
        <w:jc w:val="both"/>
        <w:textAlignment w:val="baseline"/>
        <w:rPr>
          <w:rFonts w:ascii="Cambria" w:hAnsi="Cambria" w:cs="Cambria"/>
          <w:sz w:val="20"/>
          <w:szCs w:val="20"/>
          <w:u w:color="000000"/>
        </w:rPr>
      </w:pPr>
    </w:p>
    <w:p w14:paraId="4C1D3E1D" w14:textId="784AF6B0" w:rsidR="00C34FDB" w:rsidRPr="00195FC3" w:rsidRDefault="00C34FDB" w:rsidP="00F3643E">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u w:color="000000"/>
        </w:rPr>
      </w:pPr>
      <w:r w:rsidRPr="00195FC3">
        <w:rPr>
          <w:rFonts w:ascii="Cambria" w:hAnsi="Cambria" w:cs="Cambria"/>
          <w:sz w:val="20"/>
          <w:szCs w:val="20"/>
          <w:u w:color="000000"/>
        </w:rPr>
        <w:t xml:space="preserve">Today we must </w:t>
      </w:r>
      <w:r w:rsidR="00DA3269" w:rsidRPr="00195FC3">
        <w:rPr>
          <w:rFonts w:ascii="Cambria" w:hAnsi="Cambria" w:cs="Cambria"/>
          <w:sz w:val="20"/>
          <w:szCs w:val="20"/>
          <w:u w:color="000000"/>
        </w:rPr>
        <w:t xml:space="preserve">begin </w:t>
      </w:r>
      <w:r w:rsidRPr="00195FC3">
        <w:rPr>
          <w:rFonts w:ascii="Cambria" w:hAnsi="Cambria" w:cs="Cambria"/>
          <w:sz w:val="20"/>
          <w:szCs w:val="20"/>
          <w:u w:color="000000"/>
        </w:rPr>
        <w:t>by remembering those facts</w:t>
      </w:r>
      <w:r w:rsidR="00DA3269" w:rsidRPr="00195FC3">
        <w:rPr>
          <w:rFonts w:ascii="Cambria" w:hAnsi="Cambria" w:cs="Cambria"/>
          <w:sz w:val="20"/>
          <w:szCs w:val="20"/>
          <w:u w:color="000000"/>
        </w:rPr>
        <w:t>,</w:t>
      </w:r>
      <w:r w:rsidRPr="00195FC3">
        <w:rPr>
          <w:rFonts w:ascii="Cambria" w:hAnsi="Cambria" w:cs="Cambria"/>
          <w:sz w:val="20"/>
          <w:szCs w:val="20"/>
          <w:u w:color="000000"/>
        </w:rPr>
        <w:t xml:space="preserve"> in this solemn ceremony, we remember Teobaldo Martínez’s life, we hear the silence left by his absence, and we recognize the pain inflicted on his family and their struggle to assert their rights. </w:t>
      </w:r>
    </w:p>
    <w:p w14:paraId="18E4C0FE" w14:textId="77777777" w:rsidR="00C34FDB" w:rsidRPr="00195FC3" w:rsidRDefault="00C34FDB" w:rsidP="00F3643E">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u w:color="000000"/>
        </w:rPr>
      </w:pPr>
    </w:p>
    <w:p w14:paraId="1ACC9DAD" w14:textId="252D5BFF"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u w:color="000000"/>
        </w:rPr>
      </w:pPr>
      <w:r w:rsidRPr="00195FC3">
        <w:rPr>
          <w:rFonts w:ascii="Cambria" w:hAnsi="Cambria" w:cs="Cambria"/>
          <w:sz w:val="20"/>
          <w:szCs w:val="20"/>
          <w:u w:color="000000"/>
        </w:rPr>
        <w:t xml:space="preserve">The Commission </w:t>
      </w:r>
      <w:r w:rsidR="00DA3269" w:rsidRPr="00195FC3">
        <w:rPr>
          <w:rFonts w:ascii="Cambria" w:hAnsi="Cambria" w:cs="Cambria"/>
          <w:sz w:val="20"/>
          <w:szCs w:val="20"/>
          <w:u w:color="000000"/>
        </w:rPr>
        <w:t xml:space="preserve">values </w:t>
      </w:r>
      <w:r w:rsidRPr="00195FC3">
        <w:rPr>
          <w:rFonts w:ascii="Cambria" w:hAnsi="Cambria" w:cs="Cambria"/>
          <w:sz w:val="20"/>
          <w:szCs w:val="20"/>
          <w:u w:color="000000"/>
        </w:rPr>
        <w:t xml:space="preserve">the recognition of international responsibility made today at this ceremony by the Colombian State, for its failure to guarantee the rights to a fair trial and to judicial protection enshrined in the Inter-American Convention on Human Rights with respect to Mr. Teobaldo Enrique Martínez Fuentes and his family through the lack of diligence in the investigation of the events that occurred, which led to the failure to punish those responsible. Accordingly, the Commission hopes that this acknowledgment of responsibility will offer some form of redress for the Martínez Fuentes family and that it will allow them to begin to heal the wounds caused by the violations they suffered. May helplessness be transformed into empowerment through this friendly settlement process, and may this contribute to full </w:t>
      </w:r>
      <w:r w:rsidR="00DA3269" w:rsidRPr="00195FC3">
        <w:rPr>
          <w:rFonts w:ascii="Cambria" w:hAnsi="Cambria" w:cs="Cambria"/>
          <w:sz w:val="20"/>
          <w:szCs w:val="20"/>
          <w:u w:color="000000"/>
        </w:rPr>
        <w:t xml:space="preserve">reparation </w:t>
      </w:r>
      <w:r w:rsidRPr="00195FC3">
        <w:rPr>
          <w:rFonts w:ascii="Cambria" w:hAnsi="Cambria" w:cs="Cambria"/>
          <w:sz w:val="20"/>
          <w:szCs w:val="20"/>
          <w:u w:color="000000"/>
        </w:rPr>
        <w:t>for the harm caused.</w:t>
      </w:r>
      <w:r w:rsidRPr="00F31EB3">
        <w:rPr>
          <w:rFonts w:ascii="Cambria" w:hAnsi="Cambria" w:cs="Cambria"/>
          <w:sz w:val="20"/>
          <w:szCs w:val="20"/>
          <w:u w:color="000000"/>
        </w:rPr>
        <w:t xml:space="preserve"> </w:t>
      </w:r>
    </w:p>
    <w:p w14:paraId="36C9C1AD"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highlight w:val="yellow"/>
          <w:u w:color="000000"/>
        </w:rPr>
      </w:pPr>
    </w:p>
    <w:p w14:paraId="7517DCCA" w14:textId="77777777" w:rsidR="00C34FDB" w:rsidRPr="00195FC3" w:rsidRDefault="00C34FDB" w:rsidP="00BE0000">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u w:color="000000"/>
        </w:rPr>
      </w:pPr>
      <w:r w:rsidRPr="00195FC3">
        <w:rPr>
          <w:rFonts w:ascii="Cambria" w:hAnsi="Cambria" w:cs="Cambria"/>
          <w:sz w:val="20"/>
          <w:szCs w:val="20"/>
          <w:u w:color="000000"/>
        </w:rPr>
        <w:t>We further hope that this public acknowledgment of responsibility by the State will continue to contribute to building a relationship of trust between the parties, leading to full compliance with the obligations that the Colombian State has assumed under this agreement. […]</w:t>
      </w:r>
    </w:p>
    <w:p w14:paraId="2F7E3482" w14:textId="77777777" w:rsidR="00C34FDB" w:rsidRPr="00F31EB3" w:rsidRDefault="00C34FDB" w:rsidP="00BE0000">
      <w:pPr>
        <w:pBdr>
          <w:top w:val="none" w:sz="0" w:space="0" w:color="auto"/>
          <w:left w:val="none" w:sz="0" w:space="0" w:color="auto"/>
          <w:bottom w:val="none" w:sz="0" w:space="0" w:color="auto"/>
          <w:right w:val="none" w:sz="0" w:space="0" w:color="auto"/>
          <w:bar w:val="none" w:sz="0" w:color="auto"/>
        </w:pBdr>
        <w:tabs>
          <w:tab w:val="left" w:pos="1440"/>
        </w:tabs>
        <w:ind w:left="706" w:right="720"/>
        <w:jc w:val="both"/>
        <w:rPr>
          <w:rFonts w:ascii="Cambria" w:hAnsi="Cambria" w:cs="Cambria"/>
          <w:sz w:val="20"/>
          <w:szCs w:val="20"/>
          <w:highlight w:val="yellow"/>
          <w:u w:color="000000"/>
        </w:rPr>
      </w:pPr>
    </w:p>
    <w:p w14:paraId="17B13446" w14:textId="5C5F833B" w:rsidR="00C34FDB" w:rsidRPr="00195FC3" w:rsidRDefault="00C34FDB" w:rsidP="00004B67">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Taking the foregoing into account, together with the information provided jointly by the parties, the Commission finds that section (i) of clause five of the friendly settlement agreement, relating to the act of acknowledgment of responsibility, has been fully complied with</w:t>
      </w:r>
      <w:r w:rsidR="00DA3269" w:rsidRPr="00195FC3">
        <w:rPr>
          <w:rFonts w:ascii="Cambria" w:hAnsi="Cambria" w:cs="Cambria"/>
          <w:sz w:val="20"/>
          <w:szCs w:val="20"/>
        </w:rPr>
        <w:t xml:space="preserve"> and it declares </w:t>
      </w:r>
      <w:r w:rsidR="00195FC3">
        <w:rPr>
          <w:rFonts w:ascii="Cambria" w:hAnsi="Cambria" w:cs="Cambria"/>
          <w:sz w:val="20"/>
          <w:szCs w:val="20"/>
        </w:rPr>
        <w:t>it as such</w:t>
      </w:r>
      <w:r w:rsidRPr="00195FC3">
        <w:rPr>
          <w:rFonts w:ascii="Cambria" w:hAnsi="Cambria" w:cs="Cambria"/>
          <w:sz w:val="20"/>
          <w:szCs w:val="20"/>
        </w:rPr>
        <w:t xml:space="preserve">. </w:t>
      </w:r>
    </w:p>
    <w:p w14:paraId="042F1B21" w14:textId="77777777" w:rsidR="00C34FDB" w:rsidRPr="00F31EB3" w:rsidRDefault="00C34FDB" w:rsidP="00F3643E">
      <w:pPr>
        <w:pStyle w:val="paragraph"/>
        <w:spacing w:before="0" w:beforeAutospacing="0" w:after="0" w:afterAutospacing="0"/>
        <w:ind w:left="720"/>
        <w:jc w:val="both"/>
        <w:textAlignment w:val="baseline"/>
        <w:rPr>
          <w:rFonts w:ascii="Cambria" w:hAnsi="Cambria" w:cs="Cambria"/>
          <w:sz w:val="20"/>
          <w:szCs w:val="20"/>
          <w:highlight w:val="yellow"/>
        </w:rPr>
      </w:pPr>
    </w:p>
    <w:p w14:paraId="1E306F39" w14:textId="5AFAF3F7" w:rsidR="00C34FDB" w:rsidRPr="00195FC3"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Regarding section (ii), </w:t>
      </w:r>
      <w:r w:rsidRPr="00195FC3">
        <w:rPr>
          <w:rFonts w:ascii="Cambria" w:hAnsi="Cambria" w:cs="Cambria"/>
          <w:i/>
          <w:iCs/>
          <w:sz w:val="20"/>
          <w:szCs w:val="20"/>
        </w:rPr>
        <w:t>Publication of the Article 49 Report</w:t>
      </w:r>
      <w:r w:rsidRPr="00195FC3">
        <w:rPr>
          <w:rFonts w:ascii="Cambria" w:hAnsi="Cambria" w:cs="Cambria"/>
          <w:sz w:val="20"/>
          <w:szCs w:val="20"/>
        </w:rPr>
        <w:t>, of clause five</w:t>
      </w:r>
      <w:r w:rsidR="00856070" w:rsidRPr="00195FC3">
        <w:rPr>
          <w:rFonts w:ascii="Cambria" w:hAnsi="Cambria" w:cs="Cambria"/>
          <w:sz w:val="20"/>
          <w:szCs w:val="20"/>
        </w:rPr>
        <w:t xml:space="preserve"> </w:t>
      </w:r>
      <w:r w:rsidRPr="00195FC3">
        <w:rPr>
          <w:rFonts w:ascii="Cambria" w:hAnsi="Cambria" w:cs="Cambria"/>
          <w:sz w:val="20"/>
          <w:szCs w:val="20"/>
        </w:rPr>
        <w:t xml:space="preserve">(“Satisfaction Measures”) of the friendly settlement agreement, as well as clause six (“Health and Rehabilitation Measures”) and clause seven (“Compensation Measures”) thereof, and by virtue of the parties’ joint request that progress be made with the approval of the agreement prior to its execution, the Commission notes that those measures are to be complied with following the publication of this report. It therefore finds and duly declares that they are pending compliance. In consideration whereof, the Commission will await updated information from the parties on their implementation following the approval of this report. </w:t>
      </w:r>
    </w:p>
    <w:p w14:paraId="432793F5" w14:textId="77777777" w:rsidR="00C34FDB" w:rsidRPr="00195FC3" w:rsidRDefault="00C34FDB" w:rsidP="00F3643E">
      <w:pPr>
        <w:pStyle w:val="paragraph"/>
        <w:spacing w:before="0" w:beforeAutospacing="0" w:after="0" w:afterAutospacing="0"/>
        <w:ind w:left="720"/>
        <w:jc w:val="both"/>
        <w:textAlignment w:val="baseline"/>
        <w:rPr>
          <w:rFonts w:ascii="Cambria" w:hAnsi="Cambria" w:cs="Cambria"/>
          <w:sz w:val="20"/>
          <w:szCs w:val="20"/>
        </w:rPr>
      </w:pPr>
    </w:p>
    <w:p w14:paraId="6063E4F6" w14:textId="4B57B349" w:rsidR="00C34FDB" w:rsidRPr="00195FC3" w:rsidRDefault="00C34FDB" w:rsidP="00F3643E">
      <w:pPr>
        <w:pStyle w:val="paragraph"/>
        <w:numPr>
          <w:ilvl w:val="0"/>
          <w:numId w:val="52"/>
        </w:numPr>
        <w:tabs>
          <w:tab w:val="clear" w:pos="720"/>
        </w:tabs>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In view of the foregoing, the Commission finds and duly declares that section (i), </w:t>
      </w:r>
      <w:r w:rsidRPr="00195FC3">
        <w:rPr>
          <w:rFonts w:ascii="Cambria" w:hAnsi="Cambria" w:cs="Cambria"/>
          <w:i/>
          <w:iCs/>
          <w:sz w:val="20"/>
          <w:szCs w:val="20"/>
        </w:rPr>
        <w:t>Act of Acknowledgment of Responsibility</w:t>
      </w:r>
      <w:r w:rsidRPr="00195FC3">
        <w:rPr>
          <w:rFonts w:ascii="Cambria" w:hAnsi="Cambria" w:cs="Cambria"/>
          <w:sz w:val="20"/>
          <w:szCs w:val="20"/>
        </w:rPr>
        <w:t xml:space="preserve">, of </w:t>
      </w:r>
      <w:r w:rsidR="00DA3269" w:rsidRPr="00195FC3">
        <w:rPr>
          <w:rFonts w:ascii="Cambria" w:hAnsi="Cambria" w:cs="Cambria"/>
          <w:sz w:val="20"/>
          <w:szCs w:val="20"/>
        </w:rPr>
        <w:t>the fifth clause</w:t>
      </w:r>
      <w:r w:rsidRPr="00195FC3">
        <w:rPr>
          <w:rFonts w:ascii="Cambria" w:hAnsi="Cambria" w:cs="Cambria"/>
          <w:sz w:val="20"/>
          <w:szCs w:val="20"/>
        </w:rPr>
        <w:t xml:space="preserve"> has been fully complied with</w:t>
      </w:r>
      <w:r w:rsidR="00DA3269" w:rsidRPr="00195FC3">
        <w:rPr>
          <w:rFonts w:ascii="Cambria" w:hAnsi="Cambria" w:cs="Cambria"/>
          <w:sz w:val="20"/>
          <w:szCs w:val="20"/>
        </w:rPr>
        <w:t xml:space="preserve"> and declares it </w:t>
      </w:r>
      <w:r w:rsidR="00195FC3" w:rsidRPr="00195FC3">
        <w:rPr>
          <w:rFonts w:ascii="Cambria" w:hAnsi="Cambria" w:cs="Cambria"/>
          <w:sz w:val="20"/>
          <w:szCs w:val="20"/>
        </w:rPr>
        <w:t>as such</w:t>
      </w:r>
      <w:r w:rsidRPr="00195FC3">
        <w:rPr>
          <w:rFonts w:ascii="Cambria" w:hAnsi="Cambria" w:cs="Cambria"/>
          <w:sz w:val="20"/>
          <w:szCs w:val="20"/>
        </w:rPr>
        <w:t>. At the same time, the Commission finds and duly declares that section (ii),</w:t>
      </w:r>
      <w:r w:rsidRPr="00195FC3">
        <w:rPr>
          <w:rFonts w:ascii="Cambria" w:hAnsi="Cambria" w:cs="Cambria"/>
          <w:i/>
          <w:iCs/>
          <w:sz w:val="20"/>
          <w:szCs w:val="20"/>
        </w:rPr>
        <w:t xml:space="preserve"> Publication of the Article 49 Report</w:t>
      </w:r>
      <w:r w:rsidRPr="00195FC3">
        <w:rPr>
          <w:rFonts w:ascii="Cambria" w:hAnsi="Cambria" w:cs="Cambria"/>
          <w:sz w:val="20"/>
          <w:szCs w:val="20"/>
        </w:rPr>
        <w:t>, of clause five (“Satisfaction Measures”) of the friendly settlement agreement, as well as clause six (“Health and Rehabilitation Measures”) and clause seven (“Compensation Measures”) thereof, are still pending compliance. Accordingly, the Commission finds that the friendly settlement agreement has been partially implemented</w:t>
      </w:r>
      <w:r w:rsidR="00DA3269" w:rsidRPr="00195FC3">
        <w:rPr>
          <w:rFonts w:ascii="Cambria" w:hAnsi="Cambria" w:cs="Cambria"/>
          <w:sz w:val="20"/>
          <w:szCs w:val="20"/>
        </w:rPr>
        <w:t xml:space="preserve"> and declares it </w:t>
      </w:r>
      <w:r w:rsidR="00195FC3">
        <w:rPr>
          <w:rFonts w:ascii="Cambria" w:hAnsi="Cambria" w:cs="Cambria"/>
          <w:sz w:val="20"/>
          <w:szCs w:val="20"/>
        </w:rPr>
        <w:t>as such</w:t>
      </w:r>
      <w:r w:rsidRPr="00195FC3">
        <w:rPr>
          <w:rFonts w:ascii="Cambria" w:hAnsi="Cambria" w:cs="Cambria"/>
          <w:sz w:val="20"/>
          <w:szCs w:val="20"/>
        </w:rPr>
        <w:t xml:space="preserve">. Finally, the Commission again notes that the remainder of the agreement’s content is of a declarative nature and that therefore </w:t>
      </w:r>
      <w:r w:rsidR="00DA3269" w:rsidRPr="00195FC3">
        <w:rPr>
          <w:rFonts w:ascii="Cambria" w:hAnsi="Cambria" w:cs="Cambria"/>
          <w:sz w:val="20"/>
          <w:szCs w:val="20"/>
        </w:rPr>
        <w:t xml:space="preserve">ins not incumbent to </w:t>
      </w:r>
      <w:r w:rsidRPr="00195FC3">
        <w:rPr>
          <w:rFonts w:ascii="Cambria" w:hAnsi="Cambria" w:cs="Cambria"/>
          <w:sz w:val="20"/>
          <w:szCs w:val="20"/>
        </w:rPr>
        <w:t>the IACHR</w:t>
      </w:r>
      <w:r w:rsidR="00DA3269" w:rsidRPr="00195FC3">
        <w:rPr>
          <w:rFonts w:ascii="Cambria" w:hAnsi="Cambria" w:cs="Cambria"/>
          <w:sz w:val="20"/>
          <w:szCs w:val="20"/>
        </w:rPr>
        <w:t xml:space="preserve"> to supervise its compliance</w:t>
      </w:r>
      <w:r w:rsidRPr="00195FC3">
        <w:rPr>
          <w:rFonts w:ascii="Cambria" w:hAnsi="Cambria" w:cs="Cambria"/>
          <w:sz w:val="20"/>
          <w:szCs w:val="20"/>
        </w:rPr>
        <w:t>.</w:t>
      </w:r>
    </w:p>
    <w:p w14:paraId="73538BBA" w14:textId="77777777" w:rsidR="00C34FDB" w:rsidRPr="00F31EB3" w:rsidRDefault="00C34FDB" w:rsidP="00004B67">
      <w:pPr>
        <w:pStyle w:val="paragraph"/>
        <w:spacing w:before="0" w:beforeAutospacing="0" w:after="0" w:afterAutospacing="0"/>
        <w:jc w:val="both"/>
        <w:textAlignment w:val="baseline"/>
        <w:rPr>
          <w:rFonts w:ascii="Cambria" w:hAnsi="Cambria" w:cs="Cambria"/>
          <w:sz w:val="20"/>
          <w:szCs w:val="20"/>
          <w:highlight w:val="yellow"/>
        </w:rPr>
      </w:pPr>
    </w:p>
    <w:p w14:paraId="67246105" w14:textId="77777777" w:rsidR="00C34FDB" w:rsidRPr="00F31EB3" w:rsidRDefault="00C34FDB" w:rsidP="004E1315">
      <w:pPr>
        <w:pStyle w:val="List"/>
        <w:numPr>
          <w:ilvl w:val="0"/>
          <w:numId w:val="51"/>
        </w:numPr>
        <w:pBdr>
          <w:top w:val="none" w:sz="0" w:space="0" w:color="auto"/>
          <w:left w:val="none" w:sz="0" w:space="0" w:color="auto"/>
          <w:bottom w:val="none" w:sz="0" w:space="0" w:color="auto"/>
          <w:right w:val="none" w:sz="0" w:space="0" w:color="auto"/>
          <w:bar w:val="none" w:sz="0" w:color="auto"/>
        </w:pBdr>
        <w:ind w:left="0" w:firstLine="720"/>
        <w:jc w:val="both"/>
        <w:rPr>
          <w:b/>
          <w:bCs/>
          <w:sz w:val="20"/>
          <w:szCs w:val="20"/>
          <w:lang w:eastAsia="es-ES_tradnl"/>
        </w:rPr>
      </w:pPr>
      <w:r w:rsidRPr="00F31EB3">
        <w:rPr>
          <w:b/>
          <w:bCs/>
          <w:sz w:val="20"/>
          <w:szCs w:val="20"/>
          <w:lang w:eastAsia="es-ES_tradnl"/>
        </w:rPr>
        <w:t>CONCLUSIONS</w:t>
      </w:r>
    </w:p>
    <w:p w14:paraId="79AADFCB" w14:textId="77777777" w:rsidR="00C34FDB" w:rsidRPr="00F31EB3" w:rsidRDefault="00C34FDB" w:rsidP="00004B67">
      <w:pPr>
        <w:pStyle w:val="List"/>
        <w:pBdr>
          <w:top w:val="none" w:sz="0" w:space="0" w:color="auto"/>
          <w:left w:val="none" w:sz="0" w:space="0" w:color="auto"/>
          <w:bottom w:val="none" w:sz="0" w:space="0" w:color="auto"/>
          <w:right w:val="none" w:sz="0" w:space="0" w:color="auto"/>
          <w:bar w:val="none" w:sz="0" w:color="auto"/>
        </w:pBdr>
        <w:jc w:val="both"/>
        <w:rPr>
          <w:b/>
          <w:bCs/>
          <w:sz w:val="20"/>
          <w:szCs w:val="20"/>
          <w:lang w:eastAsia="es-ES_tradnl"/>
        </w:rPr>
      </w:pPr>
    </w:p>
    <w:p w14:paraId="2B586CED" w14:textId="77777777" w:rsidR="00C34FDB" w:rsidRPr="00F31EB3" w:rsidRDefault="00C34FDB" w:rsidP="004E1315">
      <w:pPr>
        <w:pStyle w:val="List"/>
        <w:numPr>
          <w:ilvl w:val="0"/>
          <w:numId w:val="61"/>
        </w:numPr>
        <w:pBdr>
          <w:top w:val="none" w:sz="0" w:space="0" w:color="auto"/>
          <w:left w:val="none" w:sz="0" w:space="0" w:color="auto"/>
          <w:bottom w:val="none" w:sz="0" w:space="0" w:color="auto"/>
          <w:right w:val="none" w:sz="0" w:space="0" w:color="auto"/>
          <w:bar w:val="none" w:sz="0" w:color="auto"/>
        </w:pBdr>
        <w:tabs>
          <w:tab w:val="left" w:pos="720"/>
        </w:tabs>
        <w:ind w:left="0" w:firstLine="709"/>
        <w:jc w:val="both"/>
        <w:rPr>
          <w:rFonts w:eastAsia="MS Mincho"/>
          <w:sz w:val="20"/>
          <w:szCs w:val="20"/>
        </w:rPr>
      </w:pPr>
      <w:r w:rsidRPr="00F31EB3">
        <w:rPr>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7A579570" w14:textId="77777777" w:rsidR="00C34FDB" w:rsidRPr="00F31EB3" w:rsidRDefault="00C34FDB" w:rsidP="00BE0000">
      <w:pPr>
        <w:pStyle w:val="List"/>
        <w:pBdr>
          <w:top w:val="none" w:sz="0" w:space="0" w:color="auto"/>
          <w:left w:val="none" w:sz="0" w:space="0" w:color="auto"/>
          <w:bottom w:val="none" w:sz="0" w:space="0" w:color="auto"/>
          <w:right w:val="none" w:sz="0" w:space="0" w:color="auto"/>
          <w:bar w:val="none" w:sz="0" w:color="auto"/>
        </w:pBdr>
        <w:tabs>
          <w:tab w:val="left" w:pos="720"/>
        </w:tabs>
        <w:jc w:val="both"/>
        <w:rPr>
          <w:rFonts w:eastAsia="MS Mincho"/>
          <w:sz w:val="20"/>
          <w:szCs w:val="20"/>
        </w:rPr>
      </w:pPr>
    </w:p>
    <w:p w14:paraId="0D0CE59F" w14:textId="77777777" w:rsidR="00C34FDB" w:rsidRPr="00F31EB3" w:rsidRDefault="00C34FDB" w:rsidP="004E1315">
      <w:pPr>
        <w:pStyle w:val="List"/>
        <w:numPr>
          <w:ilvl w:val="0"/>
          <w:numId w:val="61"/>
        </w:numPr>
        <w:pBdr>
          <w:top w:val="none" w:sz="0" w:space="0" w:color="auto"/>
          <w:left w:val="none" w:sz="0" w:space="0" w:color="auto"/>
          <w:bottom w:val="none" w:sz="0" w:space="0" w:color="auto"/>
          <w:right w:val="none" w:sz="0" w:space="0" w:color="auto"/>
          <w:bar w:val="none" w:sz="0" w:color="auto"/>
        </w:pBdr>
        <w:tabs>
          <w:tab w:val="left" w:pos="720"/>
        </w:tabs>
        <w:ind w:left="0" w:firstLine="709"/>
        <w:jc w:val="both"/>
        <w:rPr>
          <w:rFonts w:eastAsia="MS Mincho"/>
          <w:sz w:val="20"/>
          <w:szCs w:val="20"/>
        </w:rPr>
      </w:pPr>
      <w:r w:rsidRPr="00F31EB3">
        <w:rPr>
          <w:rFonts w:eastAsia="MS Mincho"/>
          <w:sz w:val="20"/>
          <w:szCs w:val="20"/>
        </w:rPr>
        <w:t>Based on the considerations and conclusions contained in this report,</w:t>
      </w:r>
    </w:p>
    <w:p w14:paraId="42D1C906"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ind w:firstLine="720"/>
        <w:jc w:val="center"/>
        <w:rPr>
          <w:rFonts w:ascii="Cambria" w:hAnsi="Cambria" w:cs="Cambria"/>
          <w:b/>
          <w:bCs/>
          <w:color w:val="000000"/>
          <w:sz w:val="20"/>
          <w:szCs w:val="20"/>
          <w:lang w:eastAsia="es-ES_tradnl"/>
        </w:rPr>
      </w:pPr>
      <w:r w:rsidRPr="00F31EB3">
        <w:rPr>
          <w:rFonts w:ascii="Cambria" w:hAnsi="Cambria" w:cs="Cambria"/>
          <w:b/>
          <w:bCs/>
          <w:color w:val="000000"/>
          <w:sz w:val="20"/>
          <w:szCs w:val="20"/>
          <w:lang w:eastAsia="es-ES_tradnl"/>
        </w:rPr>
        <w:t>THE INTER-AMERICAN COMMISSION ON HUMAN RIGHTS</w:t>
      </w:r>
    </w:p>
    <w:p w14:paraId="0519B0DE"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color w:val="000000"/>
          <w:sz w:val="20"/>
          <w:szCs w:val="20"/>
          <w:lang w:eastAsia="es-ES_tradnl"/>
        </w:rPr>
      </w:pPr>
    </w:p>
    <w:p w14:paraId="45A2E547"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b/>
          <w:bCs/>
          <w:color w:val="000000"/>
          <w:sz w:val="20"/>
          <w:szCs w:val="20"/>
          <w:lang w:eastAsia="es-ES_tradnl"/>
        </w:rPr>
      </w:pPr>
      <w:r w:rsidRPr="00F31EB3">
        <w:rPr>
          <w:rFonts w:ascii="Cambria" w:hAnsi="Cambria" w:cs="Cambria"/>
          <w:b/>
          <w:bCs/>
          <w:color w:val="000000"/>
          <w:sz w:val="20"/>
          <w:szCs w:val="20"/>
          <w:lang w:eastAsia="es-ES_tradnl"/>
        </w:rPr>
        <w:t xml:space="preserve">DECIDES: </w:t>
      </w:r>
    </w:p>
    <w:p w14:paraId="1542AA37"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jc w:val="both"/>
        <w:rPr>
          <w:rFonts w:ascii="Cambria" w:hAnsi="Cambria" w:cs="Cambria"/>
          <w:b/>
          <w:bCs/>
          <w:color w:val="000000"/>
          <w:sz w:val="20"/>
          <w:szCs w:val="20"/>
          <w:lang w:eastAsia="es-ES_tradnl"/>
        </w:rPr>
      </w:pPr>
    </w:p>
    <w:p w14:paraId="3988B628" w14:textId="77777777" w:rsidR="00C34FDB" w:rsidRPr="00195FC3" w:rsidRDefault="00C34FDB" w:rsidP="00F3643E">
      <w:pPr>
        <w:pStyle w:val="paragraph"/>
        <w:numPr>
          <w:ilvl w:val="0"/>
          <w:numId w:val="60"/>
        </w:numPr>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To approve the terms of the agreement signed by the parties on July 26, 2022. </w:t>
      </w:r>
    </w:p>
    <w:p w14:paraId="4CC0DC85" w14:textId="77777777" w:rsidR="00C34FDB" w:rsidRPr="00195FC3"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1DD8B8CE" w14:textId="77777777" w:rsidR="00C34FDB" w:rsidRPr="00195FC3" w:rsidRDefault="00C34FDB" w:rsidP="00F3643E">
      <w:pPr>
        <w:pStyle w:val="paragraph"/>
        <w:numPr>
          <w:ilvl w:val="0"/>
          <w:numId w:val="60"/>
        </w:numPr>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To declare that section (i), </w:t>
      </w:r>
      <w:r w:rsidRPr="00195FC3">
        <w:rPr>
          <w:rFonts w:ascii="Cambria" w:hAnsi="Cambria" w:cs="Cambria"/>
          <w:i/>
          <w:iCs/>
          <w:sz w:val="20"/>
          <w:szCs w:val="20"/>
        </w:rPr>
        <w:t>Act of Acknowledgment of Responsibility</w:t>
      </w:r>
      <w:r w:rsidRPr="00195FC3">
        <w:rPr>
          <w:rFonts w:ascii="Cambria" w:hAnsi="Cambria" w:cs="Cambria"/>
          <w:sz w:val="20"/>
          <w:szCs w:val="20"/>
        </w:rPr>
        <w:t xml:space="preserve">, of clause five of the friendly settlement agreement has been fully complied with, as indicated by the analysis presented in this report. </w:t>
      </w:r>
    </w:p>
    <w:p w14:paraId="1E366C30" w14:textId="77777777" w:rsidR="00C34FDB" w:rsidRPr="00195FC3"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28E12D81" w14:textId="77777777" w:rsidR="00C34FDB" w:rsidRPr="00195FC3" w:rsidRDefault="00C34FDB" w:rsidP="00F3643E">
      <w:pPr>
        <w:pStyle w:val="paragraph"/>
        <w:numPr>
          <w:ilvl w:val="0"/>
          <w:numId w:val="60"/>
        </w:numPr>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To declare that section (ii), </w:t>
      </w:r>
      <w:r w:rsidRPr="00195FC3">
        <w:rPr>
          <w:rFonts w:ascii="Cambria" w:hAnsi="Cambria" w:cs="Cambria"/>
          <w:i/>
          <w:iCs/>
          <w:sz w:val="20"/>
          <w:szCs w:val="20"/>
        </w:rPr>
        <w:t>Publication of the Article 49 Report</w:t>
      </w:r>
      <w:r w:rsidRPr="00195FC3">
        <w:rPr>
          <w:rFonts w:ascii="Cambria" w:hAnsi="Cambria" w:cs="Cambria"/>
          <w:sz w:val="20"/>
          <w:szCs w:val="20"/>
        </w:rPr>
        <w:t xml:space="preserve">, of clause five (“Satisfaction Measures”) of the friendly settlement agreement, together with clause six (“Health and Rehabilitation Measures”) and clause seven (“Compensation Measures”) thereof, remain pending compliance, as indicated by the analysis presented in this report. </w:t>
      </w:r>
    </w:p>
    <w:p w14:paraId="619B6CF4" w14:textId="77777777" w:rsidR="00C34FDB" w:rsidRPr="00195FC3" w:rsidRDefault="00C34FDB" w:rsidP="00F3643E">
      <w:pPr>
        <w:pStyle w:val="paragraph"/>
        <w:spacing w:before="0" w:beforeAutospacing="0" w:after="0" w:afterAutospacing="0"/>
        <w:jc w:val="both"/>
        <w:textAlignment w:val="baseline"/>
        <w:rPr>
          <w:rFonts w:ascii="Cambria" w:hAnsi="Cambria" w:cs="Cambria"/>
          <w:sz w:val="20"/>
          <w:szCs w:val="20"/>
        </w:rPr>
      </w:pPr>
    </w:p>
    <w:p w14:paraId="22AFA43C" w14:textId="77777777" w:rsidR="00C34FDB" w:rsidRPr="00195FC3" w:rsidRDefault="00C34FDB" w:rsidP="00F3643E">
      <w:pPr>
        <w:pStyle w:val="paragraph"/>
        <w:numPr>
          <w:ilvl w:val="0"/>
          <w:numId w:val="60"/>
        </w:numPr>
        <w:spacing w:before="0" w:beforeAutospacing="0" w:after="0" w:afterAutospacing="0"/>
        <w:ind w:left="0" w:firstLine="709"/>
        <w:jc w:val="both"/>
        <w:textAlignment w:val="baseline"/>
        <w:rPr>
          <w:rFonts w:ascii="Cambria" w:hAnsi="Cambria" w:cs="Cambria"/>
          <w:color w:val="000000"/>
          <w:sz w:val="20"/>
          <w:szCs w:val="20"/>
        </w:rPr>
      </w:pPr>
      <w:r w:rsidRPr="00195FC3">
        <w:rPr>
          <w:rFonts w:ascii="Cambria" w:hAnsi="Cambria" w:cs="Cambria"/>
          <w:color w:val="000000"/>
          <w:sz w:val="20"/>
          <w:szCs w:val="20"/>
        </w:rPr>
        <w:t xml:space="preserve">To declare that the friendly settlement agreement has a level of partial compliance, as indicated by the analysis presented in this report. </w:t>
      </w:r>
    </w:p>
    <w:p w14:paraId="473C523C" w14:textId="77777777" w:rsidR="00C34FDB" w:rsidRPr="00195FC3"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702BA9BA" w14:textId="77777777" w:rsidR="00C34FDB" w:rsidRPr="00195FC3" w:rsidRDefault="00C34FDB" w:rsidP="00F3643E">
      <w:pPr>
        <w:pStyle w:val="paragraph"/>
        <w:numPr>
          <w:ilvl w:val="0"/>
          <w:numId w:val="60"/>
        </w:numPr>
        <w:spacing w:before="0" w:beforeAutospacing="0" w:after="0" w:afterAutospacing="0"/>
        <w:ind w:left="0" w:firstLine="720"/>
        <w:jc w:val="both"/>
        <w:textAlignment w:val="baseline"/>
        <w:rPr>
          <w:rFonts w:ascii="Cambria" w:hAnsi="Cambria" w:cs="Cambria"/>
          <w:sz w:val="20"/>
          <w:szCs w:val="20"/>
        </w:rPr>
      </w:pPr>
      <w:r w:rsidRPr="00195FC3">
        <w:rPr>
          <w:rFonts w:ascii="Cambria" w:hAnsi="Cambria" w:cs="Cambria"/>
          <w:sz w:val="20"/>
          <w:szCs w:val="20"/>
        </w:rPr>
        <w:t xml:space="preserve">To continue monitoring the commitments assumed in section (ii), </w:t>
      </w:r>
      <w:r w:rsidRPr="00195FC3">
        <w:rPr>
          <w:rFonts w:ascii="Cambria" w:hAnsi="Cambria" w:cs="Cambria"/>
          <w:i/>
          <w:iCs/>
          <w:sz w:val="20"/>
          <w:szCs w:val="20"/>
        </w:rPr>
        <w:t>Publication of the Article 49 Report</w:t>
      </w:r>
      <w:r w:rsidRPr="00195FC3">
        <w:rPr>
          <w:rFonts w:ascii="Cambria" w:hAnsi="Cambria" w:cs="Cambria"/>
          <w:sz w:val="20"/>
          <w:szCs w:val="20"/>
        </w:rPr>
        <w:t xml:space="preserve">, of clause five (“Satisfaction Measures”) of the friendly settlement agreement, as well as clause six (“Health and Rehabilitation Measures”) and clause seven (“Compensation Measures”) thereof, as indicated by the analysis presented in this report, and, to that end, to remind the parties of their commitment to report to the IACHR on a regular basis regarding their implementation. </w:t>
      </w:r>
    </w:p>
    <w:p w14:paraId="561B2DEB" w14:textId="77777777" w:rsidR="00C34FDB" w:rsidRPr="00195FC3" w:rsidRDefault="00C34FDB" w:rsidP="00F3643E">
      <w:pPr>
        <w:pStyle w:val="paragraph"/>
        <w:spacing w:before="0" w:beforeAutospacing="0" w:after="0" w:afterAutospacing="0"/>
        <w:ind w:firstLine="720"/>
        <w:jc w:val="both"/>
        <w:textAlignment w:val="baseline"/>
        <w:rPr>
          <w:rFonts w:ascii="Cambria" w:hAnsi="Cambria" w:cs="Cambria"/>
          <w:sz w:val="20"/>
          <w:szCs w:val="20"/>
        </w:rPr>
      </w:pPr>
    </w:p>
    <w:p w14:paraId="5B8EBBA8" w14:textId="77777777" w:rsidR="009E0BFA" w:rsidRPr="009E0BFA" w:rsidRDefault="00C34FDB" w:rsidP="00981C56">
      <w:pPr>
        <w:pStyle w:val="paragraph"/>
        <w:numPr>
          <w:ilvl w:val="0"/>
          <w:numId w:val="60"/>
        </w:numPr>
        <w:suppressAutoHyphens/>
        <w:spacing w:before="0" w:beforeAutospacing="0" w:after="0" w:afterAutospacing="0"/>
        <w:ind w:left="0" w:firstLine="720"/>
        <w:jc w:val="both"/>
        <w:textAlignment w:val="baseline"/>
        <w:rPr>
          <w:rFonts w:ascii="Cambria" w:hAnsi="Cambria" w:cs="Segoe UI"/>
          <w:sz w:val="20"/>
          <w:szCs w:val="20"/>
        </w:rPr>
      </w:pPr>
      <w:r w:rsidRPr="009E0BFA">
        <w:rPr>
          <w:rFonts w:ascii="Cambria" w:hAnsi="Cambria" w:cs="Cambria"/>
          <w:color w:val="000000"/>
          <w:sz w:val="20"/>
          <w:szCs w:val="20"/>
        </w:rPr>
        <w:t>To publish this report and to include it in its Annual Report to the OAS General Assembly.</w:t>
      </w:r>
    </w:p>
    <w:p w14:paraId="11B56DDD" w14:textId="77777777" w:rsidR="008D6F1F" w:rsidRDefault="008D6F1F" w:rsidP="008D6F1F">
      <w:pPr>
        <w:pStyle w:val="paragraph"/>
        <w:suppressAutoHyphens/>
        <w:spacing w:before="0" w:beforeAutospacing="0" w:after="0" w:afterAutospacing="0"/>
        <w:ind w:left="720"/>
        <w:jc w:val="both"/>
        <w:textAlignment w:val="baseline"/>
        <w:rPr>
          <w:rFonts w:ascii="Cambria" w:hAnsi="Cambria"/>
          <w:spacing w:val="-2"/>
          <w:sz w:val="20"/>
        </w:rPr>
      </w:pPr>
    </w:p>
    <w:p w14:paraId="2DD0269B" w14:textId="1248EED7" w:rsidR="009E0BFA" w:rsidRPr="009E0BFA" w:rsidRDefault="008D6F1F" w:rsidP="008D6F1F">
      <w:pPr>
        <w:pStyle w:val="paragraph"/>
        <w:suppressAutoHyphens/>
        <w:spacing w:before="0" w:beforeAutospacing="0" w:after="0" w:afterAutospacing="0"/>
        <w:jc w:val="both"/>
        <w:textAlignment w:val="baseline"/>
        <w:rPr>
          <w:rStyle w:val="normaltextrun"/>
          <w:rFonts w:ascii="Cambria" w:hAnsi="Cambria" w:cs="Segoe UI"/>
          <w:sz w:val="20"/>
          <w:szCs w:val="20"/>
        </w:rPr>
      </w:pPr>
      <w:r>
        <w:rPr>
          <w:rFonts w:ascii="Cambria" w:hAnsi="Cambria"/>
          <w:spacing w:val="-2"/>
          <w:sz w:val="20"/>
        </w:rPr>
        <w:tab/>
      </w:r>
      <w:r w:rsidR="009E0BFA" w:rsidRPr="009E0BFA">
        <w:rPr>
          <w:rFonts w:ascii="Cambria" w:hAnsi="Cambria"/>
          <w:spacing w:val="-2"/>
          <w:sz w:val="20"/>
        </w:rPr>
        <w:t>Approved by the Inter-American Commission on Human Rights on the 26</w:t>
      </w:r>
      <w:r w:rsidR="009E0BFA" w:rsidRPr="009E0BFA">
        <w:rPr>
          <w:rFonts w:ascii="Cambria" w:hAnsi="Cambria"/>
          <w:spacing w:val="-2"/>
          <w:sz w:val="20"/>
          <w:vertAlign w:val="superscript"/>
        </w:rPr>
        <w:t>th</w:t>
      </w:r>
      <w:r w:rsidR="009E0BFA" w:rsidRPr="009E0BFA">
        <w:rPr>
          <w:rFonts w:ascii="Cambria" w:hAnsi="Cambria"/>
          <w:spacing w:val="-2"/>
          <w:sz w:val="20"/>
        </w:rPr>
        <w:t xml:space="preserve"> day of the month of July, 2023.  (Signed:) </w:t>
      </w:r>
      <w:r w:rsidR="009E0BFA" w:rsidRPr="009E0BFA">
        <w:rPr>
          <w:rStyle w:val="normaltextrun"/>
          <w:rFonts w:ascii="Cambria" w:hAnsi="Cambria" w:cs="Segoe UI"/>
          <w:sz w:val="20"/>
          <w:szCs w:val="20"/>
        </w:rPr>
        <w:t>Margarette May Macaulay, President; Esmeralda Arosemena de Troitiño, Vice President; Roberta Clarke, Second Vice President; Joel Hernández García, Julissa Mantilla Falcón and Stuardo Ralón Orellana, Commissioners.</w:t>
      </w:r>
    </w:p>
    <w:p w14:paraId="3843898E" w14:textId="77777777" w:rsidR="00C34FDB" w:rsidRPr="00F31EB3" w:rsidRDefault="00C34FDB" w:rsidP="00F3643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cs="Cambria"/>
          <w:sz w:val="20"/>
          <w:szCs w:val="20"/>
        </w:rPr>
      </w:pPr>
    </w:p>
    <w:p w14:paraId="1200E6F4" w14:textId="77777777" w:rsidR="00C34FDB" w:rsidRPr="00F31EB3" w:rsidRDefault="00C34FDB" w:rsidP="005C48B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pPr>
    </w:p>
    <w:sectPr w:rsidR="00C34FDB" w:rsidRPr="00F31EB3"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0A55" w14:textId="77777777" w:rsidR="0063036B" w:rsidRDefault="0063036B"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F1D657F" w14:textId="77777777" w:rsidR="0063036B" w:rsidRDefault="0063036B"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E11E" w14:textId="77777777" w:rsidR="00C34FDB" w:rsidRPr="006311DA" w:rsidRDefault="00C34FDB">
    <w:pPr>
      <w:pStyle w:val="Footer"/>
      <w:pBdr>
        <w:top w:val="none" w:sz="0" w:space="0" w:color="auto"/>
        <w:left w:val="none" w:sz="0" w:space="0" w:color="auto"/>
        <w:bottom w:val="none" w:sz="0" w:space="0" w:color="auto"/>
        <w:right w:val="none" w:sz="0" w:space="0" w:color="auto"/>
        <w:bar w:val="none" w:sz="0" w:color="auto"/>
      </w:pBdr>
      <w:jc w:val="center"/>
      <w:rPr>
        <w:sz w:val="16"/>
        <w:szCs w:val="16"/>
      </w:rPr>
    </w:pPr>
    <w:r w:rsidRPr="006311DA">
      <w:rPr>
        <w:sz w:val="16"/>
        <w:szCs w:val="16"/>
      </w:rPr>
      <w:fldChar w:fldCharType="begin"/>
    </w:r>
    <w:r w:rsidRPr="006311DA">
      <w:rPr>
        <w:sz w:val="16"/>
        <w:szCs w:val="16"/>
      </w:rPr>
      <w:instrText xml:space="preserve"> PAGE   \* MERGEFORMAT </w:instrText>
    </w:r>
    <w:r w:rsidRPr="006311DA">
      <w:rPr>
        <w:sz w:val="16"/>
        <w:szCs w:val="16"/>
      </w:rPr>
      <w:fldChar w:fldCharType="separate"/>
    </w:r>
    <w:r>
      <w:rPr>
        <w:noProof/>
        <w:sz w:val="16"/>
        <w:szCs w:val="16"/>
      </w:rPr>
      <w:t>3</w:t>
    </w:r>
    <w:r w:rsidRPr="006311DA">
      <w:rPr>
        <w:sz w:val="16"/>
        <w:szCs w:val="16"/>
      </w:rPr>
      <w:fldChar w:fldCharType="end"/>
    </w:r>
  </w:p>
  <w:p w14:paraId="546B3C1A" w14:textId="77777777" w:rsidR="00C34FDB" w:rsidRDefault="00C34FD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6796" w14:textId="77777777" w:rsidR="00C34FDB" w:rsidRDefault="00C34FDB">
    <w:pPr>
      <w:pStyle w:val="Footer"/>
      <w:pBdr>
        <w:top w:val="none" w:sz="0" w:space="0" w:color="auto"/>
        <w:left w:val="none" w:sz="0" w:space="0" w:color="auto"/>
        <w:bottom w:val="none" w:sz="0" w:space="0" w:color="auto"/>
        <w:right w:val="none" w:sz="0" w:space="0" w:color="auto"/>
        <w:bar w:val="none" w:sz="0" w:color="auto"/>
      </w:pBdr>
      <w:jc w:val="center"/>
    </w:pPr>
  </w:p>
  <w:p w14:paraId="4318B48B" w14:textId="77777777" w:rsidR="00C34FDB" w:rsidRDefault="00C34FD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D3DA" w14:textId="77777777" w:rsidR="0063036B" w:rsidRPr="00036A8A" w:rsidRDefault="0063036B" w:rsidP="00036A8A">
      <w:pPr>
        <w:pBdr>
          <w:top w:val="none" w:sz="0" w:space="0" w:color="auto"/>
          <w:left w:val="none" w:sz="0" w:space="0" w:color="auto"/>
          <w:bottom w:val="none" w:sz="0" w:space="0" w:color="auto"/>
          <w:right w:val="none" w:sz="0" w:space="0" w:color="auto"/>
          <w:bar w:val="none" w:sz="0" w:color="auto"/>
        </w:pBdr>
        <w:rPr>
          <w:rFonts w:ascii="Cambria" w:hAnsi="Cambria" w:cs="Cambria"/>
          <w:sz w:val="16"/>
          <w:szCs w:val="16"/>
        </w:rPr>
      </w:pPr>
      <w:r w:rsidRPr="00036A8A">
        <w:rPr>
          <w:rFonts w:ascii="Cambria" w:hAnsi="Cambria" w:cs="Cambria"/>
          <w:sz w:val="16"/>
          <w:szCs w:val="16"/>
        </w:rPr>
        <w:separator/>
      </w:r>
    </w:p>
  </w:footnote>
  <w:footnote w:type="continuationSeparator" w:id="0">
    <w:p w14:paraId="6AE3155A" w14:textId="77777777" w:rsidR="0063036B" w:rsidRPr="00036A8A" w:rsidRDefault="0063036B" w:rsidP="00036A8A">
      <w:pPr>
        <w:pBdr>
          <w:top w:val="none" w:sz="0" w:space="0" w:color="auto"/>
          <w:left w:val="none" w:sz="0" w:space="0" w:color="auto"/>
          <w:bottom w:val="none" w:sz="0" w:space="0" w:color="auto"/>
          <w:right w:val="none" w:sz="0" w:space="0" w:color="auto"/>
          <w:bar w:val="none" w:sz="0" w:color="auto"/>
        </w:pBdr>
        <w:rPr>
          <w:rFonts w:ascii="Cambria" w:hAnsi="Cambria" w:cs="Cambria"/>
          <w:sz w:val="16"/>
          <w:szCs w:val="16"/>
        </w:rPr>
      </w:pPr>
      <w:r w:rsidRPr="00036A8A">
        <w:rPr>
          <w:rFonts w:ascii="Cambria" w:hAnsi="Cambria" w:cs="Cambria"/>
          <w:sz w:val="16"/>
          <w:szCs w:val="16"/>
        </w:rPr>
        <w:separator/>
      </w:r>
    </w:p>
    <w:p w14:paraId="24B70613" w14:textId="77777777" w:rsidR="0063036B" w:rsidRPr="00036A8A" w:rsidRDefault="0063036B"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r>
        <w:rPr>
          <w:sz w:val="16"/>
          <w:szCs w:val="16"/>
        </w:rPr>
        <w:t>c</w:t>
      </w:r>
      <w:r w:rsidRPr="00036A8A">
        <w:rPr>
          <w:sz w:val="16"/>
          <w:szCs w:val="16"/>
        </w:rPr>
        <w:t>ontinuation</w:t>
      </w:r>
      <w:r>
        <w:rPr>
          <w:sz w:val="16"/>
          <w:szCs w:val="16"/>
        </w:rPr>
        <w:t>]</w:t>
      </w:r>
    </w:p>
  </w:footnote>
  <w:footnote w:type="continuationNotice" w:id="1">
    <w:p w14:paraId="2BD32B1A" w14:textId="77777777" w:rsidR="0063036B" w:rsidRPr="0093441A" w:rsidRDefault="0063036B" w:rsidP="005B222D">
      <w:pPr>
        <w:pBdr>
          <w:top w:val="none" w:sz="0" w:space="0" w:color="auto"/>
          <w:left w:val="none" w:sz="0" w:space="0" w:color="auto"/>
          <w:bottom w:val="none" w:sz="0" w:space="0" w:color="auto"/>
          <w:right w:val="none" w:sz="0" w:space="0" w:color="auto"/>
          <w:bar w:val="none" w:sz="0" w:color="auto"/>
        </w:pBdr>
        <w:jc w:val="right"/>
        <w:rPr>
          <w:rFonts w:ascii="Cambria" w:hAnsi="Cambria" w:cs="Cambria"/>
          <w:sz w:val="16"/>
          <w:szCs w:val="16"/>
          <w:lang w:val="es-ES_tradnl"/>
        </w:rPr>
      </w:pPr>
      <w:r>
        <w:rPr>
          <w:rFonts w:ascii="Cambria" w:hAnsi="Cambria" w:cs="Cambria"/>
          <w:sz w:val="16"/>
          <w:szCs w:val="16"/>
        </w:rPr>
        <w:t>[</w:t>
      </w:r>
      <w:r w:rsidRPr="0093441A">
        <w:rPr>
          <w:rFonts w:ascii="Cambria" w:hAnsi="Cambria" w:cs="Cambria"/>
          <w:sz w:val="16"/>
          <w:szCs w:val="16"/>
        </w:rPr>
        <w:t>contin</w:t>
      </w:r>
      <w:r>
        <w:rPr>
          <w:rFonts w:ascii="Cambria" w:hAnsi="Cambria" w:cs="Cambria"/>
          <w:sz w:val="16"/>
          <w:szCs w:val="16"/>
        </w:rPr>
        <w:t xml:space="preserve">ues </w:t>
      </w:r>
      <w:r w:rsidRPr="0093441A">
        <w:rPr>
          <w:rFonts w:ascii="Cambria" w:hAnsi="Cambria" w:cs="Cambria"/>
          <w:sz w:val="16"/>
          <w:szCs w:val="16"/>
        </w:rPr>
        <w:t>…</w:t>
      </w:r>
      <w:r>
        <w:rPr>
          <w:rFonts w:ascii="Cambria" w:hAnsi="Cambria" w:cs="Cambria"/>
          <w:sz w:val="16"/>
          <w:szCs w:val="16"/>
        </w:rPr>
        <w:t>]</w:t>
      </w:r>
    </w:p>
  </w:footnote>
  <w:footnote w:id="2">
    <w:p w14:paraId="0F07E02C" w14:textId="77777777" w:rsidR="00C34FDB"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2D4D9D">
        <w:rPr>
          <w:rStyle w:val="FootnoteReference"/>
          <w:rFonts w:ascii="Cambria" w:hAnsi="Cambria" w:cs="Cambria"/>
          <w:sz w:val="16"/>
          <w:szCs w:val="16"/>
        </w:rPr>
        <w:footnoteRef/>
      </w:r>
      <w:r w:rsidRPr="002D4D9D">
        <w:rPr>
          <w:rFonts w:ascii="Cambria" w:hAnsi="Cambria" w:cs="Cambria"/>
          <w:sz w:val="16"/>
          <w:szCs w:val="16"/>
        </w:rPr>
        <w:t xml:space="preserve"> </w:t>
      </w:r>
      <w:r w:rsidRPr="002D4D9D">
        <w:rPr>
          <w:rFonts w:ascii="Cambria" w:hAnsi="Cambria" w:cs="Cambria"/>
          <w:sz w:val="16"/>
          <w:szCs w:val="16"/>
        </w:rPr>
        <w:tab/>
        <w:t>Commissioner Carlos Bernal Pulido, a Colombian national, did not participate in discussing or deciding this case, in compliance with Article 17(2)(a) of the IACHR’s Rules of Procedure.</w:t>
      </w:r>
    </w:p>
  </w:footnote>
  <w:footnote w:id="3">
    <w:p w14:paraId="3C2FB14E" w14:textId="77777777" w:rsidR="00C34FDB" w:rsidRPr="007239C0"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t xml:space="preserve"> I/A Court H. R. </w:t>
      </w:r>
      <w:r w:rsidRPr="007239C0">
        <w:rPr>
          <w:rFonts w:ascii="Cambria" w:hAnsi="Cambria" w:cs="Cambria"/>
          <w:i/>
          <w:iCs/>
          <w:sz w:val="16"/>
          <w:szCs w:val="16"/>
        </w:rPr>
        <w:t>Case of the Serrano Cruz Sisters v. El Salvador</w:t>
      </w:r>
      <w:r w:rsidRPr="007239C0">
        <w:rPr>
          <w:rFonts w:ascii="Cambria" w:hAnsi="Cambria" w:cs="Cambria"/>
          <w:sz w:val="16"/>
          <w:szCs w:val="16"/>
        </w:rPr>
        <w:t>. Merits, Reparations, and Costs. Judgment of March 1, 2005. Series C No. 120, para. 150.</w:t>
      </w:r>
    </w:p>
  </w:footnote>
  <w:footnote w:id="4">
    <w:p w14:paraId="0CB1D574" w14:textId="77777777" w:rsidR="00C34FDB"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t xml:space="preserve">I/A Court H. R. </w:t>
      </w:r>
      <w:r w:rsidRPr="007239C0">
        <w:rPr>
          <w:rFonts w:ascii="Cambria" w:hAnsi="Cambria" w:cs="Cambria"/>
          <w:i/>
          <w:iCs/>
          <w:sz w:val="16"/>
          <w:szCs w:val="16"/>
        </w:rPr>
        <w:t>Case of Caesar v. Trinidad and Tobago</w:t>
      </w:r>
      <w:r w:rsidRPr="007239C0">
        <w:rPr>
          <w:rFonts w:ascii="Cambria" w:hAnsi="Cambria" w:cs="Cambria"/>
          <w:sz w:val="16"/>
          <w:szCs w:val="16"/>
        </w:rPr>
        <w:t>. Merits, Reparations, and Costs. Judgment of March 11, 2005. Series C No. 123, para. 125.</w:t>
      </w:r>
    </w:p>
  </w:footnote>
  <w:footnote w:id="5">
    <w:p w14:paraId="1D568DFF" w14:textId="77777777" w:rsidR="00C34FDB" w:rsidRPr="007239C0"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t>Admissibility Report No. 76/21, para. 2.</w:t>
      </w:r>
    </w:p>
  </w:footnote>
  <w:footnote w:id="6">
    <w:p w14:paraId="1C9234B9" w14:textId="77777777" w:rsidR="00C34FDB" w:rsidRPr="007239C0"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t>Office of the Attorney General. Deed dated September 28, 2021. File No. 2021170066151.</w:t>
      </w:r>
    </w:p>
  </w:footnote>
  <w:footnote w:id="7">
    <w:p w14:paraId="2FFD62D1" w14:textId="77777777" w:rsidR="00C34FDB" w:rsidRPr="007239C0"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r>
      <w:r w:rsidRPr="007239C0">
        <w:rPr>
          <w:rFonts w:ascii="Cambria" w:hAnsi="Cambria" w:cs="Cambria"/>
          <w:i/>
          <w:iCs/>
          <w:sz w:val="16"/>
          <w:szCs w:val="16"/>
        </w:rPr>
        <w:t>Ibid.</w:t>
      </w:r>
    </w:p>
  </w:footnote>
  <w:footnote w:id="8">
    <w:p w14:paraId="26C4BBF3" w14:textId="77777777" w:rsidR="00C34FDB" w:rsidRPr="007239C0"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r>
      <w:r w:rsidRPr="007239C0">
        <w:rPr>
          <w:rFonts w:ascii="Cambria" w:hAnsi="Cambria" w:cs="Cambria"/>
          <w:i/>
          <w:iCs/>
          <w:sz w:val="16"/>
          <w:szCs w:val="16"/>
        </w:rPr>
        <w:t>Ibid.</w:t>
      </w:r>
    </w:p>
  </w:footnote>
  <w:footnote w:id="9">
    <w:p w14:paraId="646B32D1" w14:textId="77777777" w:rsidR="00C34FDB"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239C0">
        <w:rPr>
          <w:rStyle w:val="FootnoteReference"/>
          <w:rFonts w:ascii="Cambria" w:hAnsi="Cambria" w:cs="Cambria"/>
          <w:sz w:val="16"/>
          <w:szCs w:val="16"/>
        </w:rPr>
        <w:footnoteRef/>
      </w:r>
      <w:r w:rsidRPr="007239C0">
        <w:rPr>
          <w:rFonts w:ascii="Cambria" w:hAnsi="Cambria" w:cs="Cambria"/>
          <w:sz w:val="16"/>
          <w:szCs w:val="16"/>
        </w:rPr>
        <w:tab/>
        <w:t xml:space="preserve">In keeping with the jurisprudence of the Inter-American Court of Human Rights. See: I/A Court H. R. </w:t>
      </w:r>
      <w:r w:rsidRPr="007239C0">
        <w:rPr>
          <w:rFonts w:ascii="Cambria" w:hAnsi="Cambria" w:cs="Cambria"/>
          <w:i/>
          <w:iCs/>
          <w:sz w:val="16"/>
          <w:szCs w:val="16"/>
        </w:rPr>
        <w:t xml:space="preserve">Case of the Afro-descendant Communities displaced from the </w:t>
      </w:r>
      <w:proofErr w:type="spellStart"/>
      <w:r w:rsidRPr="007239C0">
        <w:rPr>
          <w:rFonts w:ascii="Cambria" w:hAnsi="Cambria" w:cs="Cambria"/>
          <w:i/>
          <w:iCs/>
          <w:sz w:val="16"/>
          <w:szCs w:val="16"/>
        </w:rPr>
        <w:t>Cacarica</w:t>
      </w:r>
      <w:proofErr w:type="spellEnd"/>
      <w:r w:rsidRPr="007239C0">
        <w:rPr>
          <w:rFonts w:ascii="Cambria" w:hAnsi="Cambria" w:cs="Cambria"/>
          <w:i/>
          <w:iCs/>
          <w:sz w:val="16"/>
          <w:szCs w:val="16"/>
        </w:rPr>
        <w:t xml:space="preserve"> River Basin (Operation Genesis) v. Colombia</w:t>
      </w:r>
      <w:r w:rsidRPr="007239C0">
        <w:rPr>
          <w:rFonts w:ascii="Cambria" w:hAnsi="Cambria" w:cs="Cambria"/>
          <w:sz w:val="16"/>
          <w:szCs w:val="16"/>
        </w:rPr>
        <w:t>. Preliminary Objections, Merits, Reparations, and Costs. Judgment of November 20, 2013. Series C No. 270, para. 425.</w:t>
      </w:r>
    </w:p>
  </w:footnote>
  <w:footnote w:id="10">
    <w:p w14:paraId="7F895816" w14:textId="77777777" w:rsidR="00C34FDB"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346D36">
        <w:rPr>
          <w:rStyle w:val="FootnoteReference"/>
          <w:rFonts w:ascii="Cambria" w:hAnsi="Cambria" w:cs="Cambria"/>
          <w:sz w:val="16"/>
          <w:szCs w:val="16"/>
        </w:rPr>
        <w:footnoteRef/>
      </w:r>
      <w:r w:rsidRPr="00346D36">
        <w:rPr>
          <w:rFonts w:ascii="Cambria" w:hAnsi="Cambria" w:cs="Cambria"/>
          <w:sz w:val="16"/>
          <w:szCs w:val="16"/>
        </w:rPr>
        <w:tab/>
        <w:t>Ministry of Health and Social Protection. Deed of July 14, 2022. File No. 20221610379281.</w:t>
      </w:r>
    </w:p>
  </w:footnote>
  <w:footnote w:id="11">
    <w:p w14:paraId="53052DDD" w14:textId="77777777" w:rsidR="00C34FDB" w:rsidRDefault="00C34FDB" w:rsidP="00F3643E">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DF37B6">
        <w:rPr>
          <w:rStyle w:val="FootnoteReference"/>
          <w:rFonts w:ascii="Cambria" w:hAnsi="Cambria" w:cs="Cambria"/>
          <w:sz w:val="16"/>
          <w:szCs w:val="16"/>
        </w:rPr>
        <w:footnoteRef/>
      </w:r>
      <w:r w:rsidRPr="00DF37B6">
        <w:rPr>
          <w:rFonts w:ascii="Cambria" w:hAnsi="Cambria" w:cs="Cambria"/>
          <w:sz w:val="16"/>
          <w:szCs w:val="16"/>
        </w:rPr>
        <w:tab/>
        <w:t xml:space="preserve">Vienna Convention on the Law of Treaties, U.N. Doc A/CONF.39/27 (1969), Article 26: </w:t>
      </w:r>
      <w:r>
        <w:rPr>
          <w:rFonts w:ascii="Cambria" w:hAnsi="Cambria" w:cs="Cambria"/>
          <w:b/>
          <w:bCs/>
          <w:sz w:val="16"/>
          <w:szCs w:val="16"/>
        </w:rPr>
        <w:t>“</w:t>
      </w:r>
      <w:r w:rsidRPr="00DF37B6">
        <w:rPr>
          <w:rFonts w:ascii="Cambria" w:hAnsi="Cambria" w:cs="Cambria"/>
          <w:b/>
          <w:bCs/>
          <w:sz w:val="16"/>
          <w:szCs w:val="16"/>
        </w:rPr>
        <w:t>Pacta sunt servanda</w:t>
      </w:r>
      <w:r>
        <w:rPr>
          <w:rFonts w:ascii="Cambria" w:hAnsi="Cambria" w:cs="Cambria"/>
          <w:b/>
          <w:bCs/>
          <w:sz w:val="16"/>
          <w:szCs w:val="16"/>
        </w:rPr>
        <w:t>”</w:t>
      </w:r>
      <w:r w:rsidRPr="00DF37B6">
        <w:rPr>
          <w:rFonts w:ascii="Cambria" w:hAnsi="Cambria" w:cs="Cambria"/>
          <w:sz w:val="16"/>
          <w:szCs w:val="16"/>
        </w:rPr>
        <w:t xml:space="preserve"> </w:t>
      </w:r>
      <w:r w:rsidRPr="00DF37B6">
        <w:rPr>
          <w:rFonts w:ascii="Cambria" w:hAnsi="Cambria" w:cs="Cambria"/>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85C5" w14:textId="5D0BBD02" w:rsidR="00C34FDB" w:rsidRDefault="00AA7F03" w:rsidP="002C1641">
    <w:pPr>
      <w:pStyle w:val="Header"/>
      <w:tabs>
        <w:tab w:val="clear" w:pos="4320"/>
        <w:tab w:val="clear" w:pos="8640"/>
      </w:tabs>
      <w:jc w:val="center"/>
      <w:rPr>
        <w:rFonts w:cs="Times New Roman"/>
        <w:sz w:val="22"/>
        <w:szCs w:val="22"/>
      </w:rPr>
    </w:pPr>
    <w:r>
      <w:rPr>
        <w:rFonts w:cs="Times New Roman"/>
        <w:noProof/>
        <w:sz w:val="22"/>
        <w:szCs w:val="22"/>
      </w:rPr>
      <w:drawing>
        <wp:inline distT="0" distB="0" distL="0" distR="0" wp14:anchorId="4F454310" wp14:editId="536ECF18">
          <wp:extent cx="2133600" cy="11430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4300"/>
                  </a:xfrm>
                  <a:prstGeom prst="rect">
                    <a:avLst/>
                  </a:prstGeom>
                  <a:noFill/>
                  <a:ln>
                    <a:noFill/>
                  </a:ln>
                </pic:spPr>
              </pic:pic>
            </a:graphicData>
          </a:graphic>
        </wp:inline>
      </w:drawing>
    </w:r>
  </w:p>
  <w:p w14:paraId="0D048C5E" w14:textId="77777777" w:rsidR="00C34FDB" w:rsidRPr="00EC7D62" w:rsidRDefault="00CE4B39" w:rsidP="002C1641">
    <w:pPr>
      <w:pStyle w:val="Header"/>
      <w:tabs>
        <w:tab w:val="clear" w:pos="4320"/>
        <w:tab w:val="clear" w:pos="8640"/>
      </w:tabs>
      <w:jc w:val="center"/>
      <w:rPr>
        <w:rFonts w:cs="Times New Roman"/>
        <w:sz w:val="22"/>
        <w:szCs w:val="22"/>
      </w:rPr>
    </w:pPr>
    <w:r>
      <w:rPr>
        <w:rFonts w:cs="Times New Roman"/>
        <w:noProof/>
        <w:sz w:val="22"/>
        <w:szCs w:val="22"/>
      </w:rPr>
      <w:pict w14:anchorId="2F2A90F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F1"/>
    <w:multiLevelType w:val="multilevel"/>
    <w:tmpl w:val="52248BDA"/>
    <w:lvl w:ilvl="0">
      <w:start w:val="4"/>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15:restartNumberingAfterBreak="0">
    <w:nsid w:val="0BE15C7F"/>
    <w:multiLevelType w:val="multilevel"/>
    <w:tmpl w:val="1E2E3272"/>
    <w:lvl w:ilvl="0">
      <w:start w:val="6"/>
      <w:numFmt w:val="decimal"/>
      <w:lvlText w:val="%1."/>
      <w:lvlJc w:val="left"/>
      <w:pPr>
        <w:tabs>
          <w:tab w:val="num" w:pos="720"/>
        </w:tabs>
        <w:ind w:left="720" w:hanging="360"/>
      </w:pPr>
      <w:rPr>
        <w:vanish w:val="0"/>
      </w:rPr>
    </w:lvl>
    <w:lvl w:ilvl="1">
      <w:start w:val="1"/>
      <w:numFmt w:val="lowerRoman"/>
      <w:lvlText w:val="%2."/>
      <w:lvlJc w:val="left"/>
      <w:pPr>
        <w:ind w:left="1800" w:hanging="720"/>
      </w:pPr>
      <w:rPr>
        <w:rFonts w:hint="default"/>
        <w:b/>
        <w:bCs/>
        <w:vanish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6" w15:restartNumberingAfterBreak="0">
    <w:nsid w:val="100A0954"/>
    <w:multiLevelType w:val="multilevel"/>
    <w:tmpl w:val="C9FE9C90"/>
    <w:lvl w:ilvl="0">
      <w:start w:val="3"/>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2EBE6FBA"/>
    <w:multiLevelType w:val="multilevel"/>
    <w:tmpl w:val="3B0EDD30"/>
    <w:lvl w:ilvl="0">
      <w:start w:val="7"/>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49495E"/>
    <w:multiLevelType w:val="multilevel"/>
    <w:tmpl w:val="0AFA5D98"/>
    <w:lvl w:ilvl="0">
      <w:start w:val="1"/>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9" w15:restartNumberingAfterBreak="0">
    <w:nsid w:val="3C972ADB"/>
    <w:multiLevelType w:val="multilevel"/>
    <w:tmpl w:val="BD0C3038"/>
    <w:lvl w:ilvl="0">
      <w:start w:val="2"/>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5FB1601C"/>
    <w:multiLevelType w:val="hybridMultilevel"/>
    <w:tmpl w:val="AE300DF6"/>
    <w:lvl w:ilvl="0" w:tplc="DA046054">
      <w:start w:val="1"/>
      <w:numFmt w:val="upperRoman"/>
      <w:lvlText w:val="%1."/>
      <w:lvlJc w:val="left"/>
      <w:pPr>
        <w:ind w:left="1080" w:hanging="720"/>
      </w:pPr>
      <w:rPr>
        <w:rFonts w:hint="default"/>
        <w:vanish w:val="0"/>
      </w:rPr>
    </w:lvl>
    <w:lvl w:ilvl="1" w:tplc="E0ACE096">
      <w:start w:val="1"/>
      <w:numFmt w:val="lowerLetter"/>
      <w:lvlText w:val="%2."/>
      <w:lvlJc w:val="left"/>
      <w:pPr>
        <w:ind w:left="1440" w:hanging="360"/>
      </w:pPr>
    </w:lvl>
    <w:lvl w:ilvl="2" w:tplc="76123314">
      <w:start w:val="1"/>
      <w:numFmt w:val="lowerRoman"/>
      <w:lvlText w:val="%3."/>
      <w:lvlJc w:val="right"/>
      <w:pPr>
        <w:ind w:left="2160" w:hanging="180"/>
      </w:pPr>
    </w:lvl>
    <w:lvl w:ilvl="3" w:tplc="CD4A0C58">
      <w:start w:val="1"/>
      <w:numFmt w:val="decimal"/>
      <w:lvlText w:val="%4."/>
      <w:lvlJc w:val="left"/>
      <w:pPr>
        <w:ind w:left="2880" w:hanging="360"/>
      </w:pPr>
    </w:lvl>
    <w:lvl w:ilvl="4" w:tplc="F3DE2F5C">
      <w:start w:val="1"/>
      <w:numFmt w:val="lowerLetter"/>
      <w:lvlText w:val="%5."/>
      <w:lvlJc w:val="left"/>
      <w:pPr>
        <w:ind w:left="3600" w:hanging="360"/>
      </w:pPr>
    </w:lvl>
    <w:lvl w:ilvl="5" w:tplc="3B06D70E">
      <w:start w:val="1"/>
      <w:numFmt w:val="lowerRoman"/>
      <w:lvlText w:val="%6."/>
      <w:lvlJc w:val="right"/>
      <w:pPr>
        <w:ind w:left="4320" w:hanging="180"/>
      </w:pPr>
    </w:lvl>
    <w:lvl w:ilvl="6" w:tplc="AB486014">
      <w:start w:val="1"/>
      <w:numFmt w:val="decimal"/>
      <w:lvlText w:val="%7."/>
      <w:lvlJc w:val="left"/>
      <w:pPr>
        <w:ind w:left="5040" w:hanging="360"/>
      </w:pPr>
    </w:lvl>
    <w:lvl w:ilvl="7" w:tplc="34F8962E">
      <w:start w:val="1"/>
      <w:numFmt w:val="lowerLetter"/>
      <w:lvlText w:val="%8."/>
      <w:lvlJc w:val="left"/>
      <w:pPr>
        <w:ind w:left="5760" w:hanging="360"/>
      </w:pPr>
    </w:lvl>
    <w:lvl w:ilvl="8" w:tplc="0B4E2DBC">
      <w:start w:val="1"/>
      <w:numFmt w:val="lowerRoman"/>
      <w:lvlText w:val="%9."/>
      <w:lvlJc w:val="right"/>
      <w:pPr>
        <w:ind w:left="6480" w:hanging="180"/>
      </w:pPr>
    </w:lvl>
  </w:abstractNum>
  <w:abstractNum w:abstractNumId="44" w15:restartNumberingAfterBreak="0">
    <w:nsid w:val="5FD947BD"/>
    <w:multiLevelType w:val="multilevel"/>
    <w:tmpl w:val="473E722E"/>
    <w:lvl w:ilvl="0">
      <w:start w:val="1"/>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655E244D"/>
    <w:multiLevelType w:val="hybridMultilevel"/>
    <w:tmpl w:val="B7DE6340"/>
    <w:lvl w:ilvl="0" w:tplc="1C3459F6">
      <w:start w:val="1"/>
      <w:numFmt w:val="decimal"/>
      <w:lvlText w:val="%1."/>
      <w:lvlJc w:val="left"/>
      <w:pPr>
        <w:ind w:left="1069" w:hanging="360"/>
      </w:pPr>
      <w:rPr>
        <w:rFonts w:eastAsia="Times New Roman" w:hint="default"/>
        <w:vanish w:val="0"/>
      </w:rPr>
    </w:lvl>
    <w:lvl w:ilvl="1" w:tplc="DA6E5FCE">
      <w:start w:val="1"/>
      <w:numFmt w:val="lowerLetter"/>
      <w:lvlText w:val="%2."/>
      <w:lvlJc w:val="left"/>
      <w:pPr>
        <w:ind w:left="1789" w:hanging="360"/>
      </w:pPr>
    </w:lvl>
    <w:lvl w:ilvl="2" w:tplc="C3E4B17C">
      <w:start w:val="1"/>
      <w:numFmt w:val="lowerRoman"/>
      <w:lvlText w:val="%3."/>
      <w:lvlJc w:val="right"/>
      <w:pPr>
        <w:ind w:left="2509" w:hanging="180"/>
      </w:pPr>
    </w:lvl>
    <w:lvl w:ilvl="3" w:tplc="5F661ED8">
      <w:start w:val="1"/>
      <w:numFmt w:val="decimal"/>
      <w:lvlText w:val="%4."/>
      <w:lvlJc w:val="left"/>
      <w:pPr>
        <w:ind w:left="3229" w:hanging="360"/>
      </w:pPr>
    </w:lvl>
    <w:lvl w:ilvl="4" w:tplc="85523B9E">
      <w:start w:val="1"/>
      <w:numFmt w:val="lowerLetter"/>
      <w:lvlText w:val="%5."/>
      <w:lvlJc w:val="left"/>
      <w:pPr>
        <w:ind w:left="3949" w:hanging="360"/>
      </w:pPr>
    </w:lvl>
    <w:lvl w:ilvl="5" w:tplc="6518CC56">
      <w:start w:val="1"/>
      <w:numFmt w:val="lowerRoman"/>
      <w:lvlText w:val="%6."/>
      <w:lvlJc w:val="right"/>
      <w:pPr>
        <w:ind w:left="4669" w:hanging="180"/>
      </w:pPr>
    </w:lvl>
    <w:lvl w:ilvl="6" w:tplc="BD54EB08">
      <w:start w:val="1"/>
      <w:numFmt w:val="decimal"/>
      <w:lvlText w:val="%7."/>
      <w:lvlJc w:val="left"/>
      <w:pPr>
        <w:ind w:left="5389" w:hanging="360"/>
      </w:pPr>
    </w:lvl>
    <w:lvl w:ilvl="7" w:tplc="51DE19D8">
      <w:start w:val="1"/>
      <w:numFmt w:val="lowerLetter"/>
      <w:lvlText w:val="%8."/>
      <w:lvlJc w:val="left"/>
      <w:pPr>
        <w:ind w:left="6109" w:hanging="360"/>
      </w:pPr>
    </w:lvl>
    <w:lvl w:ilvl="8" w:tplc="E8B06CCE">
      <w:start w:val="1"/>
      <w:numFmt w:val="lowerRoman"/>
      <w:lvlText w:val="%9."/>
      <w:lvlJc w:val="right"/>
      <w:pPr>
        <w:ind w:left="6829"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4" w15:restartNumberingAfterBreak="0">
    <w:nsid w:val="79CF4D98"/>
    <w:multiLevelType w:val="multilevel"/>
    <w:tmpl w:val="AF48E4F6"/>
    <w:lvl w:ilvl="0">
      <w:start w:val="5"/>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15:restartNumberingAfterBreak="0">
    <w:nsid w:val="7BF950B3"/>
    <w:multiLevelType w:val="multilevel"/>
    <w:tmpl w:val="461CF76E"/>
    <w:lvl w:ilvl="0">
      <w:start w:val="1"/>
      <w:numFmt w:val="decimal"/>
      <w:lvlText w:val="%1."/>
      <w:lvlJc w:val="left"/>
      <w:pPr>
        <w:tabs>
          <w:tab w:val="num" w:pos="720"/>
        </w:tabs>
        <w:ind w:left="720" w:hanging="360"/>
      </w:pPr>
      <w:rPr>
        <w: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16cid:durableId="1997175392">
    <w:abstractNumId w:val="5"/>
  </w:num>
  <w:num w:numId="2" w16cid:durableId="159585220">
    <w:abstractNumId w:val="53"/>
  </w:num>
  <w:num w:numId="3" w16cid:durableId="1504004900">
    <w:abstractNumId w:val="22"/>
  </w:num>
  <w:num w:numId="4" w16cid:durableId="1415129458">
    <w:abstractNumId w:val="47"/>
  </w:num>
  <w:num w:numId="5" w16cid:durableId="622617835">
    <w:abstractNumId w:val="27"/>
  </w:num>
  <w:num w:numId="6" w16cid:durableId="632835554">
    <w:abstractNumId w:val="7"/>
  </w:num>
  <w:num w:numId="7" w16cid:durableId="1582133505">
    <w:abstractNumId w:val="17"/>
  </w:num>
  <w:num w:numId="8" w16cid:durableId="1629507593">
    <w:abstractNumId w:val="36"/>
  </w:num>
  <w:num w:numId="9" w16cid:durableId="475025390">
    <w:abstractNumId w:val="40"/>
  </w:num>
  <w:num w:numId="10" w16cid:durableId="631643249">
    <w:abstractNumId w:val="1"/>
  </w:num>
  <w:num w:numId="11" w16cid:durableId="1736463803">
    <w:abstractNumId w:val="35"/>
  </w:num>
  <w:num w:numId="12" w16cid:durableId="153569707">
    <w:abstractNumId w:val="41"/>
  </w:num>
  <w:num w:numId="13" w16cid:durableId="732967741">
    <w:abstractNumId w:val="2"/>
  </w:num>
  <w:num w:numId="14" w16cid:durableId="1366173720">
    <w:abstractNumId w:val="3"/>
  </w:num>
  <w:num w:numId="15" w16cid:durableId="1021973530">
    <w:abstractNumId w:val="8"/>
  </w:num>
  <w:num w:numId="16" w16cid:durableId="1995716337">
    <w:abstractNumId w:val="9"/>
  </w:num>
  <w:num w:numId="17" w16cid:durableId="2118871369">
    <w:abstractNumId w:val="10"/>
  </w:num>
  <w:num w:numId="18" w16cid:durableId="832725582">
    <w:abstractNumId w:val="11"/>
  </w:num>
  <w:num w:numId="19" w16cid:durableId="736825149">
    <w:abstractNumId w:val="12"/>
  </w:num>
  <w:num w:numId="20" w16cid:durableId="669992254">
    <w:abstractNumId w:val="13"/>
  </w:num>
  <w:num w:numId="21" w16cid:durableId="1671906568">
    <w:abstractNumId w:val="14"/>
  </w:num>
  <w:num w:numId="22" w16cid:durableId="1426993121">
    <w:abstractNumId w:val="15"/>
  </w:num>
  <w:num w:numId="23" w16cid:durableId="484317165">
    <w:abstractNumId w:val="16"/>
  </w:num>
  <w:num w:numId="24" w16cid:durableId="883173645">
    <w:abstractNumId w:val="18"/>
  </w:num>
  <w:num w:numId="25" w16cid:durableId="1058360720">
    <w:abstractNumId w:val="19"/>
  </w:num>
  <w:num w:numId="26" w16cid:durableId="837620450">
    <w:abstractNumId w:val="23"/>
  </w:num>
  <w:num w:numId="27" w16cid:durableId="1734238282">
    <w:abstractNumId w:val="24"/>
  </w:num>
  <w:num w:numId="28" w16cid:durableId="1835992964">
    <w:abstractNumId w:val="25"/>
  </w:num>
  <w:num w:numId="29" w16cid:durableId="752164106">
    <w:abstractNumId w:val="26"/>
  </w:num>
  <w:num w:numId="30" w16cid:durableId="791022040">
    <w:abstractNumId w:val="28"/>
  </w:num>
  <w:num w:numId="31" w16cid:durableId="167061866">
    <w:abstractNumId w:val="30"/>
  </w:num>
  <w:num w:numId="32" w16cid:durableId="1255825778">
    <w:abstractNumId w:val="31"/>
  </w:num>
  <w:num w:numId="33" w16cid:durableId="549658511">
    <w:abstractNumId w:val="32"/>
  </w:num>
  <w:num w:numId="34" w16cid:durableId="645546378">
    <w:abstractNumId w:val="33"/>
  </w:num>
  <w:num w:numId="35" w16cid:durableId="176891858">
    <w:abstractNumId w:val="34"/>
  </w:num>
  <w:num w:numId="36" w16cid:durableId="1475877115">
    <w:abstractNumId w:val="37"/>
  </w:num>
  <w:num w:numId="37" w16cid:durableId="968239908">
    <w:abstractNumId w:val="38"/>
  </w:num>
  <w:num w:numId="38" w16cid:durableId="132260335">
    <w:abstractNumId w:val="45"/>
  </w:num>
  <w:num w:numId="39" w16cid:durableId="1034426593">
    <w:abstractNumId w:val="48"/>
  </w:num>
  <w:num w:numId="40" w16cid:durableId="2039117380">
    <w:abstractNumId w:val="49"/>
  </w:num>
  <w:num w:numId="41" w16cid:durableId="1089616732">
    <w:abstractNumId w:val="51"/>
  </w:num>
  <w:num w:numId="42" w16cid:durableId="214245586">
    <w:abstractNumId w:val="52"/>
  </w:num>
  <w:num w:numId="43" w16cid:durableId="1530874881">
    <w:abstractNumId w:val="55"/>
  </w:num>
  <w:num w:numId="44" w16cid:durableId="678965064">
    <w:abstractNumId w:val="57"/>
  </w:num>
  <w:num w:numId="45" w16cid:durableId="512956378">
    <w:abstractNumId w:val="58"/>
  </w:num>
  <w:num w:numId="46" w16cid:durableId="1368675338">
    <w:abstractNumId w:val="59"/>
  </w:num>
  <w:num w:numId="47" w16cid:durableId="269821638">
    <w:abstractNumId w:val="60"/>
  </w:num>
  <w:num w:numId="48" w16cid:durableId="1049713">
    <w:abstractNumId w:val="39"/>
  </w:num>
  <w:num w:numId="49" w16cid:durableId="584461002">
    <w:abstractNumId w:val="50"/>
  </w:num>
  <w:num w:numId="50" w16cid:durableId="748234686">
    <w:abstractNumId w:val="42"/>
  </w:num>
  <w:num w:numId="51" w16cid:durableId="7486614">
    <w:abstractNumId w:val="43"/>
  </w:num>
  <w:num w:numId="52" w16cid:durableId="531654900">
    <w:abstractNumId w:val="21"/>
  </w:num>
  <w:num w:numId="53" w16cid:durableId="1330325096">
    <w:abstractNumId w:val="56"/>
  </w:num>
  <w:num w:numId="54" w16cid:durableId="685861648">
    <w:abstractNumId w:val="29"/>
  </w:num>
  <w:num w:numId="55" w16cid:durableId="580067389">
    <w:abstractNumId w:val="6"/>
  </w:num>
  <w:num w:numId="56" w16cid:durableId="135757395">
    <w:abstractNumId w:val="0"/>
  </w:num>
  <w:num w:numId="57" w16cid:durableId="372190160">
    <w:abstractNumId w:val="54"/>
  </w:num>
  <w:num w:numId="58" w16cid:durableId="337585274">
    <w:abstractNumId w:val="4"/>
  </w:num>
  <w:num w:numId="59" w16cid:durableId="107090315">
    <w:abstractNumId w:val="20"/>
  </w:num>
  <w:num w:numId="60" w16cid:durableId="894388654">
    <w:abstractNumId w:val="44"/>
  </w:num>
  <w:num w:numId="61" w16cid:durableId="494688549">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2"/>
    <w:rsid w:val="00000CDA"/>
    <w:rsid w:val="00004B67"/>
    <w:rsid w:val="000070D7"/>
    <w:rsid w:val="000111A8"/>
    <w:rsid w:val="0001788C"/>
    <w:rsid w:val="00036A8A"/>
    <w:rsid w:val="00040C3A"/>
    <w:rsid w:val="000639C0"/>
    <w:rsid w:val="00066B5E"/>
    <w:rsid w:val="00070F3A"/>
    <w:rsid w:val="000716C5"/>
    <w:rsid w:val="00075E23"/>
    <w:rsid w:val="00092F32"/>
    <w:rsid w:val="0009344A"/>
    <w:rsid w:val="0009497D"/>
    <w:rsid w:val="00094CF1"/>
    <w:rsid w:val="000A575F"/>
    <w:rsid w:val="000D10DB"/>
    <w:rsid w:val="000D7325"/>
    <w:rsid w:val="000F3A70"/>
    <w:rsid w:val="0011469F"/>
    <w:rsid w:val="0013104F"/>
    <w:rsid w:val="00137EBA"/>
    <w:rsid w:val="00143F4D"/>
    <w:rsid w:val="00145EDC"/>
    <w:rsid w:val="001633DC"/>
    <w:rsid w:val="00165AE7"/>
    <w:rsid w:val="00167A34"/>
    <w:rsid w:val="00171DDA"/>
    <w:rsid w:val="00177846"/>
    <w:rsid w:val="0018037F"/>
    <w:rsid w:val="00183CF5"/>
    <w:rsid w:val="00195FC3"/>
    <w:rsid w:val="001A5F27"/>
    <w:rsid w:val="001A7870"/>
    <w:rsid w:val="001C1B41"/>
    <w:rsid w:val="001E18C6"/>
    <w:rsid w:val="00203EE1"/>
    <w:rsid w:val="00210E0E"/>
    <w:rsid w:val="00247403"/>
    <w:rsid w:val="00247542"/>
    <w:rsid w:val="00257893"/>
    <w:rsid w:val="002655C4"/>
    <w:rsid w:val="00266092"/>
    <w:rsid w:val="00266B61"/>
    <w:rsid w:val="0026712A"/>
    <w:rsid w:val="002704DB"/>
    <w:rsid w:val="002A65AC"/>
    <w:rsid w:val="002C1641"/>
    <w:rsid w:val="002D4D9D"/>
    <w:rsid w:val="002D7EA2"/>
    <w:rsid w:val="002E15DF"/>
    <w:rsid w:val="002E187C"/>
    <w:rsid w:val="002E6E57"/>
    <w:rsid w:val="002F4D0B"/>
    <w:rsid w:val="00301075"/>
    <w:rsid w:val="00302733"/>
    <w:rsid w:val="00307DF3"/>
    <w:rsid w:val="00311A4F"/>
    <w:rsid w:val="00314078"/>
    <w:rsid w:val="00322450"/>
    <w:rsid w:val="003246B5"/>
    <w:rsid w:val="00324F83"/>
    <w:rsid w:val="0033169F"/>
    <w:rsid w:val="00333807"/>
    <w:rsid w:val="003414AC"/>
    <w:rsid w:val="00346D36"/>
    <w:rsid w:val="00356185"/>
    <w:rsid w:val="003570FB"/>
    <w:rsid w:val="00360380"/>
    <w:rsid w:val="003726D6"/>
    <w:rsid w:val="003739A4"/>
    <w:rsid w:val="003815A8"/>
    <w:rsid w:val="00386CF0"/>
    <w:rsid w:val="003C0D36"/>
    <w:rsid w:val="003C32BC"/>
    <w:rsid w:val="003F1BBF"/>
    <w:rsid w:val="00402D4B"/>
    <w:rsid w:val="004165C2"/>
    <w:rsid w:val="00450A4A"/>
    <w:rsid w:val="004666FB"/>
    <w:rsid w:val="00467B7E"/>
    <w:rsid w:val="0049165C"/>
    <w:rsid w:val="0049419D"/>
    <w:rsid w:val="004B2762"/>
    <w:rsid w:val="004B2C31"/>
    <w:rsid w:val="004B7EB6"/>
    <w:rsid w:val="004C075D"/>
    <w:rsid w:val="004C4B62"/>
    <w:rsid w:val="004D46FB"/>
    <w:rsid w:val="004D6025"/>
    <w:rsid w:val="004D72BC"/>
    <w:rsid w:val="004E1315"/>
    <w:rsid w:val="00501399"/>
    <w:rsid w:val="00507BC4"/>
    <w:rsid w:val="005128E4"/>
    <w:rsid w:val="00513BAC"/>
    <w:rsid w:val="00525560"/>
    <w:rsid w:val="00534D01"/>
    <w:rsid w:val="005357A6"/>
    <w:rsid w:val="00544C49"/>
    <w:rsid w:val="00546E21"/>
    <w:rsid w:val="0057402A"/>
    <w:rsid w:val="005771D0"/>
    <w:rsid w:val="00581261"/>
    <w:rsid w:val="0059191A"/>
    <w:rsid w:val="005921FF"/>
    <w:rsid w:val="005A6D0E"/>
    <w:rsid w:val="005B222D"/>
    <w:rsid w:val="005B52B0"/>
    <w:rsid w:val="005B6806"/>
    <w:rsid w:val="005B6B3A"/>
    <w:rsid w:val="005C00F9"/>
    <w:rsid w:val="005C3E73"/>
    <w:rsid w:val="005C4225"/>
    <w:rsid w:val="005C48B1"/>
    <w:rsid w:val="005D6259"/>
    <w:rsid w:val="005E68B3"/>
    <w:rsid w:val="005F0F33"/>
    <w:rsid w:val="00600DEB"/>
    <w:rsid w:val="00613027"/>
    <w:rsid w:val="0062069E"/>
    <w:rsid w:val="00627C9F"/>
    <w:rsid w:val="0063036B"/>
    <w:rsid w:val="006311DA"/>
    <w:rsid w:val="006311E9"/>
    <w:rsid w:val="00632354"/>
    <w:rsid w:val="00642810"/>
    <w:rsid w:val="00652333"/>
    <w:rsid w:val="00652E56"/>
    <w:rsid w:val="0068009E"/>
    <w:rsid w:val="006A17D2"/>
    <w:rsid w:val="006A73E6"/>
    <w:rsid w:val="006B2D5C"/>
    <w:rsid w:val="006C4EB1"/>
    <w:rsid w:val="006E0166"/>
    <w:rsid w:val="006E2829"/>
    <w:rsid w:val="006E7B34"/>
    <w:rsid w:val="00701B24"/>
    <w:rsid w:val="007233C7"/>
    <w:rsid w:val="007239C0"/>
    <w:rsid w:val="00743780"/>
    <w:rsid w:val="00745899"/>
    <w:rsid w:val="007607C4"/>
    <w:rsid w:val="0076643F"/>
    <w:rsid w:val="007848B7"/>
    <w:rsid w:val="007A2F70"/>
    <w:rsid w:val="007B3856"/>
    <w:rsid w:val="007B5F32"/>
    <w:rsid w:val="007C3334"/>
    <w:rsid w:val="007C52BB"/>
    <w:rsid w:val="007D2B98"/>
    <w:rsid w:val="00803F1C"/>
    <w:rsid w:val="0080600E"/>
    <w:rsid w:val="00817612"/>
    <w:rsid w:val="0083241F"/>
    <w:rsid w:val="00837C45"/>
    <w:rsid w:val="00853419"/>
    <w:rsid w:val="00856070"/>
    <w:rsid w:val="00865E68"/>
    <w:rsid w:val="00890E0F"/>
    <w:rsid w:val="00897E12"/>
    <w:rsid w:val="008D43BA"/>
    <w:rsid w:val="008D6F1F"/>
    <w:rsid w:val="008E3759"/>
    <w:rsid w:val="009023A4"/>
    <w:rsid w:val="009041DC"/>
    <w:rsid w:val="009104B4"/>
    <w:rsid w:val="00925FCD"/>
    <w:rsid w:val="00930FE9"/>
    <w:rsid w:val="0093441A"/>
    <w:rsid w:val="00954BF7"/>
    <w:rsid w:val="0096706E"/>
    <w:rsid w:val="00967EA7"/>
    <w:rsid w:val="00981FBA"/>
    <w:rsid w:val="0098438A"/>
    <w:rsid w:val="009B381B"/>
    <w:rsid w:val="009D7611"/>
    <w:rsid w:val="009D770B"/>
    <w:rsid w:val="009E0BFA"/>
    <w:rsid w:val="009E53DE"/>
    <w:rsid w:val="00A04813"/>
    <w:rsid w:val="00A43458"/>
    <w:rsid w:val="00A4450F"/>
    <w:rsid w:val="00A528D1"/>
    <w:rsid w:val="00A66BE5"/>
    <w:rsid w:val="00A77F94"/>
    <w:rsid w:val="00AA29D9"/>
    <w:rsid w:val="00AA4C14"/>
    <w:rsid w:val="00AA7F03"/>
    <w:rsid w:val="00AC7EBD"/>
    <w:rsid w:val="00AD37C1"/>
    <w:rsid w:val="00AE66EC"/>
    <w:rsid w:val="00AE6F91"/>
    <w:rsid w:val="00AF5571"/>
    <w:rsid w:val="00B167E9"/>
    <w:rsid w:val="00B314DB"/>
    <w:rsid w:val="00B31EBE"/>
    <w:rsid w:val="00B3718B"/>
    <w:rsid w:val="00B45A73"/>
    <w:rsid w:val="00B4632A"/>
    <w:rsid w:val="00B54CDF"/>
    <w:rsid w:val="00BA276C"/>
    <w:rsid w:val="00BB306F"/>
    <w:rsid w:val="00BC0F1D"/>
    <w:rsid w:val="00BD232B"/>
    <w:rsid w:val="00BD4B89"/>
    <w:rsid w:val="00BE0000"/>
    <w:rsid w:val="00C06D23"/>
    <w:rsid w:val="00C21762"/>
    <w:rsid w:val="00C24543"/>
    <w:rsid w:val="00C256A2"/>
    <w:rsid w:val="00C3492D"/>
    <w:rsid w:val="00C34FDB"/>
    <w:rsid w:val="00C54D65"/>
    <w:rsid w:val="00C55560"/>
    <w:rsid w:val="00C60058"/>
    <w:rsid w:val="00C61CA4"/>
    <w:rsid w:val="00C66B72"/>
    <w:rsid w:val="00C83901"/>
    <w:rsid w:val="00C91A48"/>
    <w:rsid w:val="00C9567A"/>
    <w:rsid w:val="00CB2660"/>
    <w:rsid w:val="00CC5E90"/>
    <w:rsid w:val="00CD046C"/>
    <w:rsid w:val="00CD0FB7"/>
    <w:rsid w:val="00CE0F89"/>
    <w:rsid w:val="00CE39D4"/>
    <w:rsid w:val="00CE4B39"/>
    <w:rsid w:val="00CE5199"/>
    <w:rsid w:val="00CE66D5"/>
    <w:rsid w:val="00D34786"/>
    <w:rsid w:val="00D37578"/>
    <w:rsid w:val="00D40A1E"/>
    <w:rsid w:val="00D567E8"/>
    <w:rsid w:val="00D7010F"/>
    <w:rsid w:val="00D712D3"/>
    <w:rsid w:val="00D71422"/>
    <w:rsid w:val="00D7145E"/>
    <w:rsid w:val="00D72B40"/>
    <w:rsid w:val="00D7558D"/>
    <w:rsid w:val="00D81D92"/>
    <w:rsid w:val="00D93446"/>
    <w:rsid w:val="00D94C44"/>
    <w:rsid w:val="00DA3269"/>
    <w:rsid w:val="00DA37B6"/>
    <w:rsid w:val="00DA5203"/>
    <w:rsid w:val="00DA7B5F"/>
    <w:rsid w:val="00DD5436"/>
    <w:rsid w:val="00DD6F19"/>
    <w:rsid w:val="00DF37B6"/>
    <w:rsid w:val="00DF5343"/>
    <w:rsid w:val="00E34EA4"/>
    <w:rsid w:val="00E43157"/>
    <w:rsid w:val="00E533FF"/>
    <w:rsid w:val="00E709B3"/>
    <w:rsid w:val="00E85690"/>
    <w:rsid w:val="00E8789F"/>
    <w:rsid w:val="00E97B71"/>
    <w:rsid w:val="00EB39BE"/>
    <w:rsid w:val="00EB454D"/>
    <w:rsid w:val="00EC7D62"/>
    <w:rsid w:val="00ED52F3"/>
    <w:rsid w:val="00EE3522"/>
    <w:rsid w:val="00EE375F"/>
    <w:rsid w:val="00EF619B"/>
    <w:rsid w:val="00F00B55"/>
    <w:rsid w:val="00F07479"/>
    <w:rsid w:val="00F1380F"/>
    <w:rsid w:val="00F14F0E"/>
    <w:rsid w:val="00F24C29"/>
    <w:rsid w:val="00F253CC"/>
    <w:rsid w:val="00F31EB3"/>
    <w:rsid w:val="00F3643E"/>
    <w:rsid w:val="00F477F9"/>
    <w:rsid w:val="00F56BA5"/>
    <w:rsid w:val="00F61985"/>
    <w:rsid w:val="00F62E85"/>
    <w:rsid w:val="00F644E6"/>
    <w:rsid w:val="00F9653B"/>
    <w:rsid w:val="00F97303"/>
    <w:rsid w:val="00FA675D"/>
    <w:rsid w:val="00FB62CF"/>
    <w:rsid w:val="00FB6AFF"/>
    <w:rsid w:val="00FC3EB4"/>
    <w:rsid w:val="00FC6C58"/>
    <w:rsid w:val="00FD4C2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B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5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Cambria"/>
      <w:b/>
      <w:bCs/>
      <w:color w:val="365F91"/>
      <w:sz w:val="28"/>
      <w:szCs w:val="28"/>
      <w:lang w:val="en-US" w:eastAsia="en-US"/>
    </w:rPr>
  </w:style>
  <w:style w:type="character" w:styleId="Hyperlink">
    <w:name w:val="Hyperlink"/>
    <w:basedOn w:val="DefaultParagraphFont"/>
    <w:uiPriority w:val="99"/>
    <w:rsid w:val="004C075D"/>
    <w:rPr>
      <w:u w:val="single"/>
    </w:rPr>
  </w:style>
  <w:style w:type="paragraph" w:customStyle="1" w:styleId="Cabeceraypie">
    <w:name w:val="Cabecera y pie"/>
    <w:uiPriority w:val="99"/>
    <w:rsid w:val="004C075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4C075D"/>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hAnsi="Cambria" w:cs="Cambria"/>
      <w:color w:val="000000"/>
      <w:sz w:val="24"/>
      <w:szCs w:val="24"/>
      <w:u w:color="000000"/>
      <w:lang w:val="en-US" w:eastAsia="es-ES"/>
    </w:rPr>
  </w:style>
  <w:style w:type="paragraph" w:customStyle="1" w:styleId="Cuerpo">
    <w:name w:val="Cuerpo"/>
    <w:uiPriority w:val="99"/>
    <w:rsid w:val="004C07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C075D"/>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865E68"/>
    <w:rPr>
      <w:sz w:val="24"/>
      <w:szCs w:val="24"/>
    </w:rPr>
  </w:style>
  <w:style w:type="paragraph" w:styleId="List">
    <w:name w:val="List"/>
    <w:aliases w:val="List Paragraph1,Párrafo de lista1,List Paragraph11,Colorful List - Accent 11,List Paragraph111,Parragrap,Superíndice,Dot pt,No Spacing1,List Paragraph Char Char Char,Indicator Text,Numbered Para 1,4 Párrafo de lista,Figuras,DH1,4 Párrafo de l,Bull"/>
    <w:basedOn w:val="Normal"/>
    <w:link w:val="ListChar"/>
    <w:uiPriority w:val="99"/>
    <w:rsid w:val="004C075D"/>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semiHidden/>
    <w:rsid w:val="004C075D"/>
    <w:rPr>
      <w:rFonts w:ascii="Calibri" w:hAnsi="Calibri" w:cs="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865E68"/>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5C422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5C4225"/>
    <w:pPr>
      <w:spacing w:after="100"/>
    </w:pPr>
    <w:rPr>
      <w:rFonts w:ascii="Calibri" w:hAnsi="Calibri" w:cs="Calibri"/>
      <w:sz w:val="22"/>
      <w:szCs w:val="22"/>
    </w:rPr>
  </w:style>
  <w:style w:type="paragraph" w:styleId="TOC3">
    <w:name w:val="toc 3"/>
    <w:basedOn w:val="Normal"/>
    <w:next w:val="Normal"/>
    <w:autoRedefine/>
    <w:uiPriority w:val="99"/>
    <w:semiHidden/>
    <w:rsid w:val="005C4225"/>
    <w:pPr>
      <w:tabs>
        <w:tab w:val="left" w:pos="880"/>
        <w:tab w:val="right" w:leader="dot" w:pos="9350"/>
      </w:tabs>
      <w:spacing w:after="100"/>
      <w:ind w:left="2160" w:hanging="720"/>
    </w:pPr>
  </w:style>
  <w:style w:type="paragraph" w:styleId="TOC4">
    <w:name w:val="toc 4"/>
    <w:basedOn w:val="Normal"/>
    <w:next w:val="Normal"/>
    <w:autoRedefine/>
    <w:uiPriority w:val="99"/>
    <w:semiHidden/>
    <w:rsid w:val="005C4225"/>
    <w:pPr>
      <w:spacing w:after="100"/>
      <w:ind w:left="720"/>
    </w:pPr>
  </w:style>
  <w:style w:type="character" w:styleId="PageNumber">
    <w:name w:val="page number"/>
    <w:basedOn w:val="DefaultParagraphFont"/>
    <w:uiPriority w:val="99"/>
    <w:rsid w:val="00040C3A"/>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semiHidden/>
    <w:rsid w:val="00036A8A"/>
    <w:rPr>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036A8A"/>
    <w:rPr>
      <w:rFonts w:ascii="Calibri" w:hAnsi="Calibri" w:cs="Calibri"/>
      <w:color w:val="000000"/>
      <w:u w:color="000000"/>
      <w:lang w:val="en-US"/>
    </w:rPr>
  </w:style>
  <w:style w:type="character" w:customStyle="1" w:styleId="ListChar">
    <w:name w:val="List Char"/>
    <w:aliases w:val="List Paragraph1 Char,Párrafo de lista1 Char,List Paragraph11 Char,Colorful List - Accent 11 Char,List Paragraph111 Char,Parragrap Char,Superíndice Char,Dot pt Char,No Spacing1 Char,List Paragraph Char Char Char Char,Indicator Text Char"/>
    <w:basedOn w:val="DefaultParagraphFont"/>
    <w:link w:val="List"/>
    <w:uiPriority w:val="99"/>
    <w:locked/>
    <w:rsid w:val="00FA675D"/>
    <w:rPr>
      <w:rFonts w:ascii="Cambria" w:hAnsi="Cambria" w:cs="Cambria"/>
      <w:color w:val="000000"/>
      <w:sz w:val="24"/>
      <w:szCs w:val="24"/>
      <w:u w:color="000000"/>
      <w:lang w:val="en-US" w:eastAsia="es-ES"/>
    </w:rPr>
  </w:style>
  <w:style w:type="paragraph" w:customStyle="1" w:styleId="paragraph">
    <w:name w:val="paragraph"/>
    <w:basedOn w:val="Normal"/>
    <w:uiPriority w:val="99"/>
    <w:rsid w:val="00324F8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normaltextrun">
    <w:name w:val="normaltextrun"/>
    <w:basedOn w:val="DefaultParagraphFont"/>
    <w:rsid w:val="00324F83"/>
  </w:style>
  <w:style w:type="numbering" w:customStyle="1" w:styleId="List16">
    <w:name w:val="List 16"/>
    <w:rsid w:val="00652835"/>
    <w:pPr>
      <w:numPr>
        <w:numId w:val="10"/>
      </w:numPr>
    </w:pPr>
  </w:style>
  <w:style w:type="numbering" w:customStyle="1" w:styleId="List36">
    <w:name w:val="List 36"/>
    <w:rsid w:val="00652835"/>
    <w:pPr>
      <w:numPr>
        <w:numId w:val="13"/>
      </w:numPr>
    </w:pPr>
  </w:style>
  <w:style w:type="numbering" w:customStyle="1" w:styleId="List25">
    <w:name w:val="List 25"/>
    <w:rsid w:val="00652835"/>
    <w:pPr>
      <w:numPr>
        <w:numId w:val="14"/>
      </w:numPr>
    </w:pPr>
  </w:style>
  <w:style w:type="numbering" w:customStyle="1" w:styleId="List1">
    <w:name w:val="List 1"/>
    <w:rsid w:val="00652835"/>
    <w:pPr>
      <w:numPr>
        <w:numId w:val="1"/>
      </w:numPr>
    </w:pPr>
  </w:style>
  <w:style w:type="numbering" w:customStyle="1" w:styleId="List11">
    <w:name w:val="List 11"/>
    <w:rsid w:val="00652835"/>
    <w:pPr>
      <w:numPr>
        <w:numId w:val="6"/>
      </w:numPr>
    </w:pPr>
  </w:style>
  <w:style w:type="numbering" w:customStyle="1" w:styleId="List15">
    <w:name w:val="List 15"/>
    <w:rsid w:val="00652835"/>
    <w:pPr>
      <w:numPr>
        <w:numId w:val="15"/>
      </w:numPr>
    </w:pPr>
  </w:style>
  <w:style w:type="numbering" w:customStyle="1" w:styleId="List14">
    <w:name w:val="List 14"/>
    <w:rsid w:val="00652835"/>
    <w:pPr>
      <w:numPr>
        <w:numId w:val="16"/>
      </w:numPr>
    </w:pPr>
  </w:style>
  <w:style w:type="numbering" w:customStyle="1" w:styleId="List23">
    <w:name w:val="List 23"/>
    <w:rsid w:val="00652835"/>
    <w:pPr>
      <w:numPr>
        <w:numId w:val="17"/>
      </w:numPr>
    </w:pPr>
  </w:style>
  <w:style w:type="numbering" w:customStyle="1" w:styleId="List19">
    <w:name w:val="List 19"/>
    <w:rsid w:val="00652835"/>
    <w:pPr>
      <w:numPr>
        <w:numId w:val="18"/>
      </w:numPr>
    </w:pPr>
  </w:style>
  <w:style w:type="numbering" w:customStyle="1" w:styleId="List45">
    <w:name w:val="List 45"/>
    <w:rsid w:val="00652835"/>
    <w:pPr>
      <w:numPr>
        <w:numId w:val="19"/>
      </w:numPr>
    </w:pPr>
  </w:style>
  <w:style w:type="numbering" w:customStyle="1" w:styleId="List40">
    <w:name w:val="List 40"/>
    <w:rsid w:val="00652835"/>
    <w:pPr>
      <w:numPr>
        <w:numId w:val="20"/>
      </w:numPr>
    </w:pPr>
  </w:style>
  <w:style w:type="numbering" w:customStyle="1" w:styleId="List9">
    <w:name w:val="List 9"/>
    <w:rsid w:val="00652835"/>
    <w:pPr>
      <w:numPr>
        <w:numId w:val="21"/>
      </w:numPr>
    </w:pPr>
  </w:style>
  <w:style w:type="numbering" w:customStyle="1" w:styleId="List43">
    <w:name w:val="List 43"/>
    <w:rsid w:val="00652835"/>
    <w:pPr>
      <w:numPr>
        <w:numId w:val="22"/>
      </w:numPr>
    </w:pPr>
  </w:style>
  <w:style w:type="numbering" w:customStyle="1" w:styleId="List46">
    <w:name w:val="List 46"/>
    <w:rsid w:val="00652835"/>
    <w:pPr>
      <w:numPr>
        <w:numId w:val="23"/>
      </w:numPr>
    </w:pPr>
  </w:style>
  <w:style w:type="numbering" w:customStyle="1" w:styleId="List35">
    <w:name w:val="List 35"/>
    <w:rsid w:val="00652835"/>
    <w:pPr>
      <w:numPr>
        <w:numId w:val="7"/>
      </w:numPr>
    </w:pPr>
  </w:style>
  <w:style w:type="numbering" w:customStyle="1" w:styleId="List17">
    <w:name w:val="List 17"/>
    <w:rsid w:val="00652835"/>
    <w:pPr>
      <w:numPr>
        <w:numId w:val="24"/>
      </w:numPr>
    </w:pPr>
  </w:style>
  <w:style w:type="numbering" w:customStyle="1" w:styleId="List33">
    <w:name w:val="List 33"/>
    <w:rsid w:val="00652835"/>
    <w:pPr>
      <w:numPr>
        <w:numId w:val="25"/>
      </w:numPr>
    </w:pPr>
  </w:style>
  <w:style w:type="numbering" w:customStyle="1" w:styleId="List7">
    <w:name w:val="List 7"/>
    <w:rsid w:val="00652835"/>
    <w:pPr>
      <w:numPr>
        <w:numId w:val="3"/>
      </w:numPr>
    </w:pPr>
  </w:style>
  <w:style w:type="numbering" w:customStyle="1" w:styleId="List18">
    <w:name w:val="List 18"/>
    <w:rsid w:val="00652835"/>
    <w:pPr>
      <w:numPr>
        <w:numId w:val="26"/>
      </w:numPr>
    </w:pPr>
  </w:style>
  <w:style w:type="numbering" w:customStyle="1" w:styleId="List22">
    <w:name w:val="List 22"/>
    <w:rsid w:val="00652835"/>
    <w:pPr>
      <w:numPr>
        <w:numId w:val="27"/>
      </w:numPr>
    </w:pPr>
  </w:style>
  <w:style w:type="numbering" w:customStyle="1" w:styleId="List47">
    <w:name w:val="List 47"/>
    <w:rsid w:val="00652835"/>
    <w:pPr>
      <w:numPr>
        <w:numId w:val="28"/>
      </w:numPr>
    </w:pPr>
  </w:style>
  <w:style w:type="numbering" w:customStyle="1" w:styleId="List28">
    <w:name w:val="List 28"/>
    <w:rsid w:val="00652835"/>
    <w:pPr>
      <w:numPr>
        <w:numId w:val="29"/>
      </w:numPr>
    </w:pPr>
  </w:style>
  <w:style w:type="numbering" w:customStyle="1" w:styleId="List10">
    <w:name w:val="List 10"/>
    <w:rsid w:val="00652835"/>
    <w:pPr>
      <w:numPr>
        <w:numId w:val="5"/>
      </w:numPr>
    </w:pPr>
  </w:style>
  <w:style w:type="numbering" w:customStyle="1" w:styleId="List0">
    <w:name w:val="List 0"/>
    <w:rsid w:val="00652835"/>
    <w:pPr>
      <w:numPr>
        <w:numId w:val="30"/>
      </w:numPr>
    </w:pPr>
  </w:style>
  <w:style w:type="numbering" w:customStyle="1" w:styleId="List30">
    <w:name w:val="List 30"/>
    <w:rsid w:val="00652835"/>
    <w:pPr>
      <w:numPr>
        <w:numId w:val="31"/>
      </w:numPr>
    </w:pPr>
  </w:style>
  <w:style w:type="numbering" w:customStyle="1" w:styleId="List29">
    <w:name w:val="List 29"/>
    <w:rsid w:val="00652835"/>
    <w:pPr>
      <w:numPr>
        <w:numId w:val="32"/>
      </w:numPr>
    </w:pPr>
  </w:style>
  <w:style w:type="numbering" w:customStyle="1" w:styleId="List38">
    <w:name w:val="List 38"/>
    <w:rsid w:val="00652835"/>
    <w:pPr>
      <w:numPr>
        <w:numId w:val="33"/>
      </w:numPr>
    </w:pPr>
  </w:style>
  <w:style w:type="numbering" w:customStyle="1" w:styleId="List12">
    <w:name w:val="List 12"/>
    <w:rsid w:val="00652835"/>
    <w:pPr>
      <w:numPr>
        <w:numId w:val="34"/>
      </w:numPr>
    </w:pPr>
  </w:style>
  <w:style w:type="numbering" w:customStyle="1" w:styleId="List50">
    <w:name w:val="List 50"/>
    <w:rsid w:val="00652835"/>
    <w:pPr>
      <w:numPr>
        <w:numId w:val="35"/>
      </w:numPr>
    </w:pPr>
  </w:style>
  <w:style w:type="numbering" w:customStyle="1" w:styleId="List34">
    <w:name w:val="List 34"/>
    <w:rsid w:val="00652835"/>
    <w:pPr>
      <w:numPr>
        <w:numId w:val="11"/>
      </w:numPr>
    </w:pPr>
  </w:style>
  <w:style w:type="numbering" w:customStyle="1" w:styleId="List42">
    <w:name w:val="List 42"/>
    <w:rsid w:val="00652835"/>
    <w:pPr>
      <w:numPr>
        <w:numId w:val="8"/>
      </w:numPr>
    </w:pPr>
  </w:style>
  <w:style w:type="numbering" w:customStyle="1" w:styleId="List49">
    <w:name w:val="List 49"/>
    <w:rsid w:val="00652835"/>
    <w:pPr>
      <w:numPr>
        <w:numId w:val="36"/>
      </w:numPr>
    </w:pPr>
  </w:style>
  <w:style w:type="numbering" w:customStyle="1" w:styleId="List44">
    <w:name w:val="List 44"/>
    <w:rsid w:val="00652835"/>
    <w:pPr>
      <w:numPr>
        <w:numId w:val="37"/>
      </w:numPr>
    </w:pPr>
  </w:style>
  <w:style w:type="numbering" w:customStyle="1" w:styleId="List21">
    <w:name w:val="List 21"/>
    <w:rsid w:val="00652835"/>
    <w:pPr>
      <w:numPr>
        <w:numId w:val="48"/>
      </w:numPr>
    </w:pPr>
  </w:style>
  <w:style w:type="numbering" w:customStyle="1" w:styleId="List52">
    <w:name w:val="List 52"/>
    <w:rsid w:val="00652835"/>
    <w:pPr>
      <w:numPr>
        <w:numId w:val="9"/>
      </w:numPr>
    </w:pPr>
  </w:style>
  <w:style w:type="numbering" w:customStyle="1" w:styleId="List24">
    <w:name w:val="List 24"/>
    <w:rsid w:val="00652835"/>
    <w:pPr>
      <w:numPr>
        <w:numId w:val="12"/>
      </w:numPr>
    </w:pPr>
  </w:style>
  <w:style w:type="numbering" w:customStyle="1" w:styleId="List51">
    <w:name w:val="List 51"/>
    <w:rsid w:val="00652835"/>
    <w:pPr>
      <w:numPr>
        <w:numId w:val="50"/>
      </w:numPr>
    </w:pPr>
  </w:style>
  <w:style w:type="numbering" w:customStyle="1" w:styleId="List27">
    <w:name w:val="List 27"/>
    <w:rsid w:val="00652835"/>
    <w:pPr>
      <w:numPr>
        <w:numId w:val="38"/>
      </w:numPr>
    </w:pPr>
  </w:style>
  <w:style w:type="numbering" w:customStyle="1" w:styleId="List8">
    <w:name w:val="List 8"/>
    <w:rsid w:val="00652835"/>
    <w:pPr>
      <w:numPr>
        <w:numId w:val="4"/>
      </w:numPr>
    </w:pPr>
  </w:style>
  <w:style w:type="numbering" w:customStyle="1" w:styleId="List13">
    <w:name w:val="List 13"/>
    <w:rsid w:val="00652835"/>
    <w:pPr>
      <w:numPr>
        <w:numId w:val="39"/>
      </w:numPr>
    </w:pPr>
  </w:style>
  <w:style w:type="numbering" w:customStyle="1" w:styleId="List20">
    <w:name w:val="List 20"/>
    <w:rsid w:val="00652835"/>
    <w:pPr>
      <w:numPr>
        <w:numId w:val="40"/>
      </w:numPr>
    </w:pPr>
  </w:style>
  <w:style w:type="numbering" w:customStyle="1" w:styleId="List41">
    <w:name w:val="List 41"/>
    <w:rsid w:val="00652835"/>
    <w:pPr>
      <w:numPr>
        <w:numId w:val="41"/>
      </w:numPr>
    </w:pPr>
  </w:style>
  <w:style w:type="numbering" w:customStyle="1" w:styleId="List31">
    <w:name w:val="List 31"/>
    <w:rsid w:val="00652835"/>
    <w:pPr>
      <w:numPr>
        <w:numId w:val="42"/>
      </w:numPr>
    </w:pPr>
  </w:style>
  <w:style w:type="numbering" w:customStyle="1" w:styleId="List6">
    <w:name w:val="List 6"/>
    <w:rsid w:val="00652835"/>
    <w:pPr>
      <w:numPr>
        <w:numId w:val="2"/>
      </w:numPr>
    </w:pPr>
  </w:style>
  <w:style w:type="numbering" w:customStyle="1" w:styleId="List39">
    <w:name w:val="List 39"/>
    <w:rsid w:val="00652835"/>
    <w:pPr>
      <w:numPr>
        <w:numId w:val="43"/>
      </w:numPr>
    </w:pPr>
  </w:style>
  <w:style w:type="numbering" w:customStyle="1" w:styleId="List37">
    <w:name w:val="List 37"/>
    <w:rsid w:val="00652835"/>
    <w:pPr>
      <w:numPr>
        <w:numId w:val="44"/>
      </w:numPr>
    </w:pPr>
  </w:style>
  <w:style w:type="numbering" w:customStyle="1" w:styleId="List32">
    <w:name w:val="List 32"/>
    <w:rsid w:val="00652835"/>
    <w:pPr>
      <w:numPr>
        <w:numId w:val="45"/>
      </w:numPr>
    </w:pPr>
  </w:style>
  <w:style w:type="numbering" w:customStyle="1" w:styleId="List26">
    <w:name w:val="List 26"/>
    <w:rsid w:val="00652835"/>
    <w:pPr>
      <w:numPr>
        <w:numId w:val="46"/>
      </w:numPr>
    </w:pPr>
  </w:style>
  <w:style w:type="numbering" w:customStyle="1" w:styleId="List48">
    <w:name w:val="List 48"/>
    <w:rsid w:val="00652835"/>
    <w:pPr>
      <w:numPr>
        <w:numId w:val="47"/>
      </w:numPr>
    </w:pPr>
  </w:style>
  <w:style w:type="paragraph" w:styleId="Revision">
    <w:name w:val="Revision"/>
    <w:hidden/>
    <w:uiPriority w:val="99"/>
    <w:semiHidden/>
    <w:rsid w:val="00171DDA"/>
    <w:rPr>
      <w:sz w:val="24"/>
      <w:szCs w:val="24"/>
    </w:rPr>
  </w:style>
  <w:style w:type="paragraph" w:styleId="ListParagraph">
    <w:name w:val="List Paragraph"/>
    <w:basedOn w:val="Normal"/>
    <w:uiPriority w:val="34"/>
    <w:qFormat/>
    <w:rsid w:val="007B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0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4413</Words>
  <Characters>23856</Characters>
  <Application>Microsoft Office Word</Application>
  <DocSecurity>0</DocSecurity>
  <Lines>507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110/23</dc:title>
  <dc:subject/>
  <dc:creator/>
  <cp:keywords/>
  <dc:description/>
  <cp:lastModifiedBy/>
  <cp:revision>1</cp:revision>
  <dcterms:created xsi:type="dcterms:W3CDTF">2023-08-24T22:15:00Z</dcterms:created>
  <dcterms:modified xsi:type="dcterms:W3CDTF">2023-08-24T22:16:00Z</dcterms:modified>
</cp:coreProperties>
</file>